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85AE" w14:textId="1B922954" w:rsidR="005036DE" w:rsidRPr="00843678" w:rsidRDefault="005036DE" w:rsidP="00FC775A">
      <w:pPr>
        <w:spacing w:after="0" w:line="0" w:lineRule="atLeast"/>
        <w:jc w:val="right"/>
        <w:rPr>
          <w:rFonts w:ascii="Times New Roman" w:hAnsi="Times New Roman" w:cs="Times New Roman"/>
          <w:color w:val="000000" w:themeColor="text1"/>
        </w:rPr>
      </w:pPr>
      <w:r w:rsidRPr="0084367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D98A865" wp14:editId="09DF2A7E">
                <wp:simplePos x="0" y="0"/>
                <wp:positionH relativeFrom="column">
                  <wp:posOffset>-13648</wp:posOffset>
                </wp:positionH>
                <wp:positionV relativeFrom="paragraph">
                  <wp:posOffset>-27296</wp:posOffset>
                </wp:positionV>
                <wp:extent cx="764275" cy="58799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64275" cy="587992"/>
                        </a:xfrm>
                        <a:prstGeom prst="rect">
                          <a:avLst/>
                        </a:prstGeom>
                        <a:solidFill>
                          <a:schemeClr val="lt1"/>
                        </a:solidFill>
                        <a:ln w="6350">
                          <a:noFill/>
                        </a:ln>
                      </wps:spPr>
                      <wps:txbx>
                        <w:txbxContent>
                          <w:p w14:paraId="7D35CF10" w14:textId="341770AA" w:rsidR="006D78A7" w:rsidRDefault="006D78A7">
                            <w:r>
                              <w:rPr>
                                <w:noProof/>
                              </w:rPr>
                              <w:drawing>
                                <wp:inline distT="0" distB="0" distL="0" distR="0" wp14:anchorId="0249F49E" wp14:editId="1F34551B">
                                  <wp:extent cx="532262" cy="5334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8A865" id="_x0000_t202" coordsize="21600,21600" o:spt="202" path="m,l,21600r21600,l21600,xe">
                <v:stroke joinstyle="miter"/>
                <v:path gradientshapeok="t" o:connecttype="rect"/>
              </v:shapetype>
              <v:shape id="Text Box 3" o:spid="_x0000_s1026" type="#_x0000_t202" style="position:absolute;left:0;text-align:left;margin-left:-1.05pt;margin-top:-2.15pt;width:60.2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" fillcolor="white [3201]" stroked="f" strokeweight=".5pt">
                <v:textbox>
                  <w:txbxContent>
                    <w:p w14:paraId="7D35CF10" w14:textId="341770AA" w:rsidR="006D78A7" w:rsidRDefault="006D78A7">
                      <w:r>
                        <w:rPr>
                          <w:noProof/>
                        </w:rPr>
                        <w:drawing>
                          <wp:inline distT="0" distB="0" distL="0" distR="0" wp14:anchorId="0249F49E" wp14:editId="1F34551B">
                            <wp:extent cx="532262" cy="5334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62" cy="533440"/>
                                    </a:xfrm>
                                    <a:prstGeom prst="rect">
                                      <a:avLst/>
                                    </a:prstGeom>
                                    <a:noFill/>
                                    <a:ln>
                                      <a:noFill/>
                                    </a:ln>
                                  </pic:spPr>
                                </pic:pic>
                              </a:graphicData>
                            </a:graphic>
                          </wp:inline>
                        </w:drawing>
                      </w:r>
                    </w:p>
                  </w:txbxContent>
                </v:textbox>
              </v:shape>
            </w:pict>
          </mc:Fallback>
        </mc:AlternateContent>
      </w:r>
      <w:r w:rsidR="001E6E8B" w:rsidRPr="00843678">
        <w:rPr>
          <w:rFonts w:ascii="Times New Roman" w:hAnsi="Times New Roman" w:cs="Times New Roman"/>
          <w:color w:val="000000" w:themeColor="text1"/>
        </w:rPr>
        <w:t xml:space="preserve">April </w:t>
      </w:r>
      <w:r w:rsidR="00E319D9">
        <w:rPr>
          <w:rFonts w:ascii="Times New Roman" w:hAnsi="Times New Roman" w:cs="Times New Roman"/>
          <w:color w:val="000000" w:themeColor="text1"/>
        </w:rPr>
        <w:t>30</w:t>
      </w:r>
      <w:r w:rsidR="001E6E8B" w:rsidRPr="00843678">
        <w:rPr>
          <w:rFonts w:ascii="Times New Roman" w:hAnsi="Times New Roman" w:cs="Times New Roman"/>
          <w:color w:val="000000" w:themeColor="text1"/>
        </w:rPr>
        <w:t>, 2020</w:t>
      </w:r>
    </w:p>
    <w:p w14:paraId="55692863" w14:textId="059F83C5" w:rsidR="005036DE" w:rsidRPr="00843678" w:rsidRDefault="005036DE" w:rsidP="00FC775A">
      <w:pPr>
        <w:spacing w:after="0" w:line="0" w:lineRule="atLeast"/>
        <w:rPr>
          <w:rFonts w:ascii="Times New Roman" w:hAnsi="Times New Roman" w:cs="Times New Roman"/>
          <w:b/>
          <w:bCs/>
          <w:color w:val="000000" w:themeColor="text1"/>
        </w:rPr>
      </w:pPr>
    </w:p>
    <w:p w14:paraId="467FEB3F" w14:textId="77777777" w:rsidR="005036DE" w:rsidRPr="00843678" w:rsidRDefault="005036DE" w:rsidP="00FC775A">
      <w:pPr>
        <w:spacing w:after="0" w:line="0" w:lineRule="atLeast"/>
        <w:jc w:val="center"/>
        <w:rPr>
          <w:rFonts w:ascii="Times New Roman" w:hAnsi="Times New Roman" w:cs="Times New Roman"/>
          <w:b/>
          <w:bCs/>
          <w:color w:val="000000" w:themeColor="text1"/>
        </w:rPr>
      </w:pPr>
    </w:p>
    <w:p w14:paraId="1AEDA445" w14:textId="2A598E0B" w:rsidR="005036DE" w:rsidRPr="00843678" w:rsidRDefault="00BE6522" w:rsidP="00FC775A">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 xml:space="preserve">TAX </w:t>
      </w:r>
      <w:r w:rsidR="001E6E8B" w:rsidRPr="00843678">
        <w:rPr>
          <w:rFonts w:ascii="Times New Roman" w:hAnsi="Times New Roman" w:cs="Times New Roman"/>
          <w:b/>
          <w:bCs/>
          <w:color w:val="000000" w:themeColor="text1"/>
        </w:rPr>
        <w:t xml:space="preserve">&amp; LEGAL </w:t>
      </w:r>
      <w:r w:rsidR="00441919">
        <w:rPr>
          <w:rFonts w:ascii="Times New Roman" w:hAnsi="Times New Roman" w:cs="Times New Roman"/>
          <w:b/>
          <w:bCs/>
          <w:color w:val="000000" w:themeColor="text1"/>
        </w:rPr>
        <w:t>UPDATE</w:t>
      </w:r>
    </w:p>
    <w:p w14:paraId="69C106C4" w14:textId="2D2D81B8" w:rsidR="001E6E8B" w:rsidRPr="00843678" w:rsidRDefault="001E6E8B" w:rsidP="00564F08">
      <w:pPr>
        <w:spacing w:after="0" w:line="0" w:lineRule="atLeast"/>
        <w:jc w:val="center"/>
        <w:rPr>
          <w:rFonts w:ascii="Times New Roman" w:hAnsi="Times New Roman" w:cs="Times New Roman"/>
          <w:b/>
          <w:bCs/>
          <w:color w:val="000000" w:themeColor="text1"/>
        </w:rPr>
      </w:pPr>
    </w:p>
    <w:p w14:paraId="45D634A1" w14:textId="572998A8" w:rsidR="001E6E8B" w:rsidRPr="00843678" w:rsidRDefault="001E6E8B" w:rsidP="00564F08">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EMERGENCY COVID-19 MEASURES</w:t>
      </w:r>
    </w:p>
    <w:p w14:paraId="0F1C454F" w14:textId="3EA979E0" w:rsidR="005036DE" w:rsidRPr="00843678" w:rsidRDefault="005036DE" w:rsidP="00564F08">
      <w:pPr>
        <w:spacing w:after="0" w:line="0" w:lineRule="atLeast"/>
        <w:jc w:val="center"/>
        <w:rPr>
          <w:rFonts w:ascii="Times New Roman" w:hAnsi="Times New Roman" w:cs="Times New Roman"/>
          <w:b/>
          <w:bCs/>
          <w:color w:val="000000" w:themeColor="text1"/>
        </w:rPr>
      </w:pPr>
    </w:p>
    <w:p w14:paraId="48DB9985" w14:textId="6FFE591E" w:rsidR="00564F08" w:rsidRPr="00843678" w:rsidRDefault="001E6E8B" w:rsidP="0021352B">
      <w:pPr>
        <w:pStyle w:val="BodyText"/>
        <w:jc w:val="both"/>
      </w:pPr>
      <w:r w:rsidRPr="00843678">
        <w:t>In this Tax &amp; Legal Flash, we have summarized some of the emergency measures, which the Thai government has announced. The focus here is on those measures which likely are relevant to companies conducting business in Thailand.</w:t>
      </w:r>
    </w:p>
    <w:p w14:paraId="6AFB4324" w14:textId="77777777" w:rsidR="003E7A2B" w:rsidRPr="00843678" w:rsidRDefault="003E7A2B" w:rsidP="0021352B">
      <w:pPr>
        <w:spacing w:after="0" w:line="0" w:lineRule="atLeast"/>
        <w:jc w:val="both"/>
        <w:rPr>
          <w:rFonts w:ascii="Times New Roman" w:hAnsi="Times New Roman" w:cs="Times New Roman"/>
          <w:color w:val="000000" w:themeColor="text1"/>
        </w:rPr>
      </w:pPr>
    </w:p>
    <w:p w14:paraId="6CAB1D22" w14:textId="36333ED6" w:rsidR="001C69CC" w:rsidRDefault="008C1A5D" w:rsidP="0021352B">
      <w:pPr>
        <w:pStyle w:val="ListParagraph"/>
        <w:numPr>
          <w:ilvl w:val="0"/>
          <w:numId w:val="12"/>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Completely virtual </w:t>
      </w:r>
      <w:r w:rsidR="00544D73">
        <w:rPr>
          <w:rFonts w:ascii="Times New Roman" w:hAnsi="Times New Roman" w:cs="Times New Roman"/>
          <w:b/>
          <w:bCs/>
          <w:color w:val="000000" w:themeColor="text1"/>
          <w:u w:val="single"/>
        </w:rPr>
        <w:t xml:space="preserve">international </w:t>
      </w:r>
      <w:r w:rsidR="00F77A82">
        <w:rPr>
          <w:rFonts w:ascii="Times New Roman" w:hAnsi="Times New Roman" w:cs="Times New Roman"/>
          <w:b/>
          <w:bCs/>
          <w:color w:val="000000" w:themeColor="text1"/>
          <w:u w:val="single"/>
        </w:rPr>
        <w:t>meetings of b</w:t>
      </w:r>
      <w:r w:rsidR="00FD5510">
        <w:rPr>
          <w:rFonts w:ascii="Times New Roman" w:hAnsi="Times New Roman" w:cs="Times New Roman"/>
          <w:b/>
          <w:bCs/>
          <w:color w:val="000000" w:themeColor="text1"/>
          <w:u w:val="single"/>
        </w:rPr>
        <w:t xml:space="preserve">oard of </w:t>
      </w:r>
      <w:r w:rsidR="00F77A82">
        <w:rPr>
          <w:rFonts w:ascii="Times New Roman" w:hAnsi="Times New Roman" w:cs="Times New Roman"/>
          <w:b/>
          <w:bCs/>
          <w:color w:val="000000" w:themeColor="text1"/>
          <w:u w:val="single"/>
        </w:rPr>
        <w:t>d</w:t>
      </w:r>
      <w:r w:rsidR="00FD5510">
        <w:rPr>
          <w:rFonts w:ascii="Times New Roman" w:hAnsi="Times New Roman" w:cs="Times New Roman"/>
          <w:b/>
          <w:bCs/>
          <w:color w:val="000000" w:themeColor="text1"/>
          <w:u w:val="single"/>
        </w:rPr>
        <w:t xml:space="preserve">irectors </w:t>
      </w:r>
      <w:r w:rsidR="00F77A82">
        <w:rPr>
          <w:rFonts w:ascii="Times New Roman" w:hAnsi="Times New Roman" w:cs="Times New Roman"/>
          <w:b/>
          <w:bCs/>
          <w:color w:val="000000" w:themeColor="text1"/>
          <w:u w:val="single"/>
        </w:rPr>
        <w:t xml:space="preserve">&amp; shareholders </w:t>
      </w:r>
      <w:r w:rsidR="00F6611E">
        <w:rPr>
          <w:rFonts w:ascii="Times New Roman" w:hAnsi="Times New Roman" w:cs="Times New Roman"/>
          <w:b/>
          <w:bCs/>
          <w:color w:val="000000" w:themeColor="text1"/>
          <w:u w:val="single"/>
        </w:rPr>
        <w:t>now valid</w:t>
      </w:r>
    </w:p>
    <w:p w14:paraId="49B95B62" w14:textId="422F5932" w:rsidR="00A0712D" w:rsidRDefault="00DE6CEA" w:rsidP="0021352B">
      <w:pPr>
        <w:spacing w:after="0" w:line="0" w:lineRule="atLeast"/>
        <w:jc w:val="both"/>
        <w:rPr>
          <w:rFonts w:ascii="Times New Roman" w:hAnsi="Times New Roman" w:cs="Times New Roman"/>
          <w:color w:val="000000" w:themeColor="text1"/>
        </w:rPr>
      </w:pPr>
      <w:r w:rsidRPr="00A0712D">
        <w:rPr>
          <w:rFonts w:ascii="Times New Roman" w:hAnsi="Times New Roman" w:cs="Times New Roman"/>
          <w:color w:val="000000" w:themeColor="text1"/>
        </w:rPr>
        <w:t>“Roya</w:t>
      </w:r>
      <w:r w:rsidR="00C66528" w:rsidRPr="00A0712D">
        <w:rPr>
          <w:rFonts w:ascii="Times New Roman" w:hAnsi="Times New Roman" w:cs="Times New Roman"/>
          <w:color w:val="000000" w:themeColor="text1"/>
        </w:rPr>
        <w:t xml:space="preserve">l Decree </w:t>
      </w:r>
      <w:r w:rsidR="00BF6967" w:rsidRPr="00A0712D">
        <w:rPr>
          <w:rFonts w:ascii="Times New Roman" w:hAnsi="Times New Roman" w:cs="Times New Roman"/>
          <w:color w:val="000000" w:themeColor="text1"/>
        </w:rPr>
        <w:t xml:space="preserve">governing teleconferences </w:t>
      </w:r>
      <w:r w:rsidR="00C66528" w:rsidRPr="00A0712D">
        <w:rPr>
          <w:rFonts w:ascii="Times New Roman" w:hAnsi="Times New Roman" w:cs="Times New Roman"/>
          <w:color w:val="000000" w:themeColor="text1"/>
        </w:rPr>
        <w:t xml:space="preserve">via </w:t>
      </w:r>
      <w:r w:rsidR="00BF6967" w:rsidRPr="00A0712D">
        <w:rPr>
          <w:rFonts w:ascii="Times New Roman" w:hAnsi="Times New Roman" w:cs="Times New Roman"/>
          <w:color w:val="000000" w:themeColor="text1"/>
        </w:rPr>
        <w:t>electronic means B.E. 2563 (A.D. 2020)</w:t>
      </w:r>
      <w:r w:rsidR="00036A1B" w:rsidRPr="00A0712D">
        <w:rPr>
          <w:rFonts w:ascii="Times New Roman" w:hAnsi="Times New Roman" w:cs="Times New Roman"/>
          <w:color w:val="000000" w:themeColor="text1"/>
        </w:rPr>
        <w:t>”</w:t>
      </w:r>
      <w:r w:rsidR="00FC61C3">
        <w:rPr>
          <w:rFonts w:ascii="Times New Roman" w:hAnsi="Times New Roman" w:cs="Times New Roman"/>
          <w:color w:val="000000" w:themeColor="text1"/>
        </w:rPr>
        <w:t xml:space="preserve"> (“Act”)</w:t>
      </w:r>
      <w:r w:rsidR="00036A1B" w:rsidRPr="00A0712D">
        <w:rPr>
          <w:rFonts w:ascii="Times New Roman" w:hAnsi="Times New Roman" w:cs="Times New Roman"/>
          <w:color w:val="000000" w:themeColor="text1"/>
        </w:rPr>
        <w:t xml:space="preserve"> has </w:t>
      </w:r>
      <w:r w:rsidR="00A141F3" w:rsidRPr="00A0712D">
        <w:rPr>
          <w:rFonts w:ascii="Times New Roman" w:hAnsi="Times New Roman" w:cs="Times New Roman"/>
          <w:color w:val="000000" w:themeColor="text1"/>
        </w:rPr>
        <w:t xml:space="preserve">taken effect on </w:t>
      </w:r>
      <w:r w:rsidR="00BB331E" w:rsidRPr="00A0712D">
        <w:rPr>
          <w:rFonts w:ascii="Times New Roman" w:hAnsi="Times New Roman" w:cs="Times New Roman"/>
          <w:color w:val="000000" w:themeColor="text1"/>
        </w:rPr>
        <w:t>April 19, 2020.</w:t>
      </w:r>
      <w:r w:rsidR="00263CAF" w:rsidRPr="00A0712D">
        <w:rPr>
          <w:rFonts w:ascii="Times New Roman" w:hAnsi="Times New Roman" w:cs="Times New Roman"/>
          <w:color w:val="000000" w:themeColor="text1"/>
        </w:rPr>
        <w:t xml:space="preserve"> By virtue of this law,</w:t>
      </w:r>
      <w:r w:rsidR="00B20EDB" w:rsidRPr="00A0712D">
        <w:rPr>
          <w:rFonts w:ascii="Times New Roman" w:hAnsi="Times New Roman" w:cs="Times New Roman"/>
          <w:color w:val="000000" w:themeColor="text1"/>
        </w:rPr>
        <w:t xml:space="preserve"> generally,</w:t>
      </w:r>
      <w:r w:rsidR="00263CAF" w:rsidRPr="00A0712D">
        <w:rPr>
          <w:rFonts w:ascii="Times New Roman" w:hAnsi="Times New Roman" w:cs="Times New Roman"/>
          <w:color w:val="000000" w:themeColor="text1"/>
        </w:rPr>
        <w:t xml:space="preserve"> board of director meetings</w:t>
      </w:r>
      <w:r w:rsidR="00B20EDB" w:rsidRPr="00A0712D">
        <w:rPr>
          <w:rFonts w:ascii="Times New Roman" w:hAnsi="Times New Roman" w:cs="Times New Roman"/>
          <w:color w:val="000000" w:themeColor="text1"/>
        </w:rPr>
        <w:t xml:space="preserve"> can now be validly held </w:t>
      </w:r>
      <w:r w:rsidR="003F66F4" w:rsidRPr="00A0712D">
        <w:rPr>
          <w:rFonts w:ascii="Times New Roman" w:hAnsi="Times New Roman" w:cs="Times New Roman"/>
          <w:color w:val="000000" w:themeColor="text1"/>
        </w:rPr>
        <w:t xml:space="preserve">via electronic means, whereby </w:t>
      </w:r>
      <w:r w:rsidR="00CD4683" w:rsidRPr="00A0712D">
        <w:rPr>
          <w:rFonts w:ascii="Times New Roman" w:hAnsi="Times New Roman" w:cs="Times New Roman"/>
          <w:color w:val="000000" w:themeColor="text1"/>
        </w:rPr>
        <w:t>meeting attendants are not at any same place during the meeting</w:t>
      </w:r>
      <w:r w:rsidR="00EA5071" w:rsidRPr="00A0712D">
        <w:rPr>
          <w:rFonts w:ascii="Times New Roman" w:hAnsi="Times New Roman" w:cs="Times New Roman"/>
          <w:color w:val="000000" w:themeColor="text1"/>
        </w:rPr>
        <w:t>. The fact that there was no physical “place” for the meeting</w:t>
      </w:r>
      <w:r w:rsidR="003F1C17" w:rsidRPr="00A0712D">
        <w:rPr>
          <w:rFonts w:ascii="Times New Roman" w:hAnsi="Times New Roman" w:cs="Times New Roman"/>
          <w:color w:val="000000" w:themeColor="text1"/>
        </w:rPr>
        <w:t xml:space="preserve"> itself would no longer be grounds for </w:t>
      </w:r>
      <w:r w:rsidR="009560C2" w:rsidRPr="00A0712D">
        <w:rPr>
          <w:rFonts w:ascii="Times New Roman" w:hAnsi="Times New Roman" w:cs="Times New Roman"/>
          <w:color w:val="000000" w:themeColor="text1"/>
        </w:rPr>
        <w:t>challenging</w:t>
      </w:r>
      <w:r w:rsidR="00A0712D" w:rsidRPr="00A0712D">
        <w:rPr>
          <w:rFonts w:ascii="Times New Roman" w:hAnsi="Times New Roman" w:cs="Times New Roman"/>
          <w:color w:val="000000" w:themeColor="text1"/>
        </w:rPr>
        <w:t>, in court,</w:t>
      </w:r>
      <w:r w:rsidR="009560C2" w:rsidRPr="00A0712D">
        <w:rPr>
          <w:rFonts w:ascii="Times New Roman" w:hAnsi="Times New Roman" w:cs="Times New Roman"/>
          <w:color w:val="000000" w:themeColor="text1"/>
        </w:rPr>
        <w:t xml:space="preserve"> the validity of the meeting itself</w:t>
      </w:r>
      <w:r w:rsidR="00A0712D" w:rsidRPr="00A0712D">
        <w:rPr>
          <w:rFonts w:ascii="Times New Roman" w:hAnsi="Times New Roman" w:cs="Times New Roman"/>
          <w:color w:val="000000" w:themeColor="text1"/>
        </w:rPr>
        <w:t>.</w:t>
      </w:r>
      <w:r w:rsidR="009E6A87">
        <w:rPr>
          <w:rFonts w:ascii="Times New Roman" w:hAnsi="Times New Roman" w:cs="Times New Roman"/>
          <w:color w:val="000000" w:themeColor="text1"/>
        </w:rPr>
        <w:t xml:space="preserve"> </w:t>
      </w:r>
      <w:r w:rsidR="00F775C2">
        <w:rPr>
          <w:rFonts w:ascii="Times New Roman" w:hAnsi="Times New Roman" w:cs="Times New Roman"/>
          <w:color w:val="000000" w:themeColor="text1"/>
        </w:rPr>
        <w:t xml:space="preserve">Details and conditions under this </w:t>
      </w:r>
      <w:r w:rsidR="00FC61C3">
        <w:rPr>
          <w:rFonts w:ascii="Times New Roman" w:hAnsi="Times New Roman" w:cs="Times New Roman"/>
          <w:color w:val="000000" w:themeColor="text1"/>
        </w:rPr>
        <w:t>A</w:t>
      </w:r>
      <w:r w:rsidR="00F775C2">
        <w:rPr>
          <w:rFonts w:ascii="Times New Roman" w:hAnsi="Times New Roman" w:cs="Times New Roman"/>
          <w:color w:val="000000" w:themeColor="text1"/>
        </w:rPr>
        <w:t xml:space="preserve">ct </w:t>
      </w:r>
      <w:r w:rsidR="00D1386B">
        <w:rPr>
          <w:rFonts w:ascii="Times New Roman" w:hAnsi="Times New Roman" w:cs="Times New Roman"/>
          <w:color w:val="000000" w:themeColor="text1"/>
        </w:rPr>
        <w:t>include the following:</w:t>
      </w:r>
    </w:p>
    <w:p w14:paraId="5D525D22" w14:textId="3BCBD63E" w:rsidR="00D1386B" w:rsidRDefault="00D1386B" w:rsidP="0021352B">
      <w:pPr>
        <w:spacing w:after="0" w:line="0" w:lineRule="atLeast"/>
        <w:jc w:val="both"/>
        <w:rPr>
          <w:rFonts w:ascii="Times New Roman" w:hAnsi="Times New Roman" w:cs="Times New Roman"/>
          <w:color w:val="000000" w:themeColor="text1"/>
        </w:rPr>
      </w:pPr>
    </w:p>
    <w:p w14:paraId="297CA09D" w14:textId="29AAC124" w:rsidR="00A0712D" w:rsidRDefault="008238E1"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250345">
        <w:rPr>
          <w:rFonts w:ascii="Times New Roman" w:hAnsi="Times New Roman" w:cs="Times New Roman"/>
          <w:color w:val="000000" w:themeColor="text1"/>
        </w:rPr>
        <w:t xml:space="preserve">Meetings </w:t>
      </w:r>
      <w:r w:rsidR="00A03718">
        <w:rPr>
          <w:rFonts w:ascii="Times New Roman" w:hAnsi="Times New Roman" w:cs="Times New Roman"/>
          <w:color w:val="000000" w:themeColor="text1"/>
        </w:rPr>
        <w:t>V</w:t>
      </w:r>
      <w:r w:rsidR="00250345">
        <w:rPr>
          <w:rFonts w:ascii="Times New Roman" w:hAnsi="Times New Roman" w:cs="Times New Roman"/>
          <w:color w:val="000000" w:themeColor="text1"/>
        </w:rPr>
        <w:t xml:space="preserve">ia </w:t>
      </w:r>
      <w:r w:rsidR="00A03718">
        <w:rPr>
          <w:rFonts w:ascii="Times New Roman" w:hAnsi="Times New Roman" w:cs="Times New Roman"/>
          <w:color w:val="000000" w:themeColor="text1"/>
        </w:rPr>
        <w:t>E</w:t>
      </w:r>
      <w:r w:rsidR="00250345">
        <w:rPr>
          <w:rFonts w:ascii="Times New Roman" w:hAnsi="Times New Roman" w:cs="Times New Roman"/>
          <w:color w:val="000000" w:themeColor="text1"/>
        </w:rPr>
        <w:t xml:space="preserve">lectronic </w:t>
      </w:r>
      <w:r w:rsidR="00A03718">
        <w:rPr>
          <w:rFonts w:ascii="Times New Roman" w:hAnsi="Times New Roman" w:cs="Times New Roman"/>
          <w:color w:val="000000" w:themeColor="text1"/>
        </w:rPr>
        <w:t>M</w:t>
      </w:r>
      <w:r w:rsidR="00250345">
        <w:rPr>
          <w:rFonts w:ascii="Times New Roman" w:hAnsi="Times New Roman" w:cs="Times New Roman"/>
          <w:color w:val="000000" w:themeColor="text1"/>
        </w:rPr>
        <w:t>eans</w:t>
      </w:r>
      <w:r>
        <w:rPr>
          <w:rFonts w:ascii="Times New Roman" w:hAnsi="Times New Roman" w:cs="Times New Roman"/>
          <w:color w:val="000000" w:themeColor="text1"/>
        </w:rPr>
        <w:t>”</w:t>
      </w:r>
      <w:r w:rsidR="005F285A">
        <w:rPr>
          <w:rFonts w:ascii="Times New Roman" w:hAnsi="Times New Roman" w:cs="Times New Roman"/>
          <w:color w:val="000000" w:themeColor="text1"/>
        </w:rPr>
        <w:t xml:space="preserve"> </w:t>
      </w:r>
      <w:r w:rsidR="00480CDC">
        <w:rPr>
          <w:rFonts w:ascii="Times New Roman" w:hAnsi="Times New Roman" w:cs="Times New Roman"/>
          <w:color w:val="000000" w:themeColor="text1"/>
        </w:rPr>
        <w:t>means</w:t>
      </w:r>
      <w:r w:rsidR="005F285A">
        <w:rPr>
          <w:rFonts w:ascii="Times New Roman" w:hAnsi="Times New Roman" w:cs="Times New Roman"/>
          <w:color w:val="000000" w:themeColor="text1"/>
        </w:rPr>
        <w:t>,</w:t>
      </w:r>
      <w:r w:rsidR="00480CDC">
        <w:rPr>
          <w:rFonts w:ascii="Times New Roman" w:hAnsi="Times New Roman" w:cs="Times New Roman"/>
          <w:color w:val="000000" w:themeColor="text1"/>
        </w:rPr>
        <w:t xml:space="preserve"> </w:t>
      </w:r>
      <w:r w:rsidR="002F4601">
        <w:rPr>
          <w:rFonts w:ascii="Times New Roman" w:hAnsi="Times New Roman" w:cs="Times New Roman"/>
          <w:color w:val="000000" w:themeColor="text1"/>
        </w:rPr>
        <w:t>meeting</w:t>
      </w:r>
      <w:r w:rsidR="00480CDC">
        <w:rPr>
          <w:rFonts w:ascii="Times New Roman" w:hAnsi="Times New Roman" w:cs="Times New Roman"/>
          <w:color w:val="000000" w:themeColor="text1"/>
        </w:rPr>
        <w:t>s</w:t>
      </w:r>
      <w:r w:rsidR="002F4601">
        <w:rPr>
          <w:rFonts w:ascii="Times New Roman" w:hAnsi="Times New Roman" w:cs="Times New Roman"/>
          <w:color w:val="000000" w:themeColor="text1"/>
        </w:rPr>
        <w:t xml:space="preserve"> held via electronic means</w:t>
      </w:r>
      <w:r w:rsidR="006926CC">
        <w:rPr>
          <w:rFonts w:ascii="Times New Roman" w:hAnsi="Times New Roman" w:cs="Times New Roman"/>
          <w:color w:val="000000" w:themeColor="text1"/>
        </w:rPr>
        <w:t xml:space="preserve">, whereby meeting participants are not </w:t>
      </w:r>
      <w:r w:rsidR="0099567F">
        <w:rPr>
          <w:rFonts w:ascii="Times New Roman" w:hAnsi="Times New Roman" w:cs="Times New Roman"/>
          <w:color w:val="000000" w:themeColor="text1"/>
        </w:rPr>
        <w:t xml:space="preserve">required to be at the same place, and discussions and </w:t>
      </w:r>
      <w:r w:rsidR="00606F95">
        <w:rPr>
          <w:rFonts w:ascii="Times New Roman" w:hAnsi="Times New Roman" w:cs="Times New Roman"/>
          <w:color w:val="000000" w:themeColor="text1"/>
        </w:rPr>
        <w:t xml:space="preserve">statements can be </w:t>
      </w:r>
      <w:r w:rsidR="00250345">
        <w:rPr>
          <w:rFonts w:ascii="Times New Roman" w:hAnsi="Times New Roman" w:cs="Times New Roman"/>
          <w:color w:val="000000" w:themeColor="text1"/>
        </w:rPr>
        <w:t>exchanged between all participants.</w:t>
      </w:r>
    </w:p>
    <w:p w14:paraId="16230CA4" w14:textId="0CC8EFE1" w:rsidR="0066403B" w:rsidRDefault="0066403B" w:rsidP="0021352B">
      <w:pPr>
        <w:spacing w:after="0" w:line="0" w:lineRule="atLeast"/>
        <w:jc w:val="both"/>
        <w:rPr>
          <w:rFonts w:ascii="Times New Roman" w:hAnsi="Times New Roman" w:cs="Times New Roman"/>
          <w:color w:val="000000" w:themeColor="text1"/>
        </w:rPr>
      </w:pPr>
    </w:p>
    <w:p w14:paraId="13A744F6" w14:textId="6B00AA25" w:rsidR="000C5689" w:rsidRPr="00A0712D" w:rsidRDefault="000C5689"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“Meeting </w:t>
      </w:r>
      <w:r w:rsidR="00A03718">
        <w:rPr>
          <w:rFonts w:ascii="Times New Roman" w:hAnsi="Times New Roman" w:cs="Times New Roman"/>
          <w:color w:val="000000" w:themeColor="text1"/>
        </w:rPr>
        <w:t>A</w:t>
      </w:r>
      <w:r>
        <w:rPr>
          <w:rFonts w:ascii="Times New Roman" w:hAnsi="Times New Roman" w:cs="Times New Roman"/>
          <w:color w:val="000000" w:themeColor="text1"/>
        </w:rPr>
        <w:t xml:space="preserve">ttendant” </w:t>
      </w:r>
      <w:r w:rsidR="005F285A">
        <w:rPr>
          <w:rFonts w:ascii="Times New Roman" w:hAnsi="Times New Roman" w:cs="Times New Roman"/>
          <w:color w:val="000000" w:themeColor="text1"/>
        </w:rPr>
        <w:t xml:space="preserve">means, </w:t>
      </w:r>
      <w:r>
        <w:rPr>
          <w:rFonts w:ascii="Times New Roman" w:hAnsi="Times New Roman" w:cs="Times New Roman"/>
          <w:color w:val="000000" w:themeColor="text1"/>
        </w:rPr>
        <w:t xml:space="preserve">the chairman, directors, secretary, </w:t>
      </w:r>
      <w:r w:rsidR="00D20CE7">
        <w:rPr>
          <w:rFonts w:ascii="Times New Roman" w:hAnsi="Times New Roman" w:cs="Times New Roman"/>
          <w:color w:val="000000" w:themeColor="text1"/>
        </w:rPr>
        <w:t>persons who make clarifications and provides opinions to the board of directors,</w:t>
      </w:r>
      <w:r w:rsidR="005F285A">
        <w:rPr>
          <w:rFonts w:ascii="Times New Roman" w:hAnsi="Times New Roman" w:cs="Times New Roman"/>
          <w:color w:val="000000" w:themeColor="text1"/>
        </w:rPr>
        <w:t xml:space="preserve"> etc.</w:t>
      </w:r>
      <w:r w:rsidR="00D20CE7">
        <w:rPr>
          <w:rFonts w:ascii="Times New Roman" w:hAnsi="Times New Roman" w:cs="Times New Roman"/>
          <w:color w:val="000000" w:themeColor="text1"/>
        </w:rPr>
        <w:t xml:space="preserve"> </w:t>
      </w:r>
    </w:p>
    <w:p w14:paraId="3F2362A5" w14:textId="77777777" w:rsidR="00480CDC" w:rsidRDefault="00480CDC" w:rsidP="0021352B">
      <w:pPr>
        <w:spacing w:after="0" w:line="0" w:lineRule="atLeast"/>
        <w:jc w:val="both"/>
        <w:rPr>
          <w:rFonts w:ascii="Times New Roman" w:hAnsi="Times New Roman" w:cs="Times New Roman"/>
          <w:color w:val="000000" w:themeColor="text1"/>
        </w:rPr>
      </w:pPr>
    </w:p>
    <w:p w14:paraId="3FC94D7F" w14:textId="43E90FDE" w:rsidR="00811755" w:rsidRDefault="00811755"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This Royal Decree does not apply to the following</w:t>
      </w:r>
      <w:r w:rsidR="00461FDB">
        <w:rPr>
          <w:rFonts w:ascii="Times New Roman" w:hAnsi="Times New Roman" w:cs="Times New Roman"/>
          <w:color w:val="000000" w:themeColor="text1"/>
        </w:rPr>
        <w:t xml:space="preserve"> (“Exclusions”)</w:t>
      </w:r>
      <w:r>
        <w:rPr>
          <w:rFonts w:ascii="Times New Roman" w:hAnsi="Times New Roman" w:cs="Times New Roman"/>
          <w:color w:val="000000" w:themeColor="text1"/>
        </w:rPr>
        <w:t>:</w:t>
      </w:r>
    </w:p>
    <w:p w14:paraId="1AD43D13" w14:textId="7A070359" w:rsidR="0057434A" w:rsidRPr="008E7E4D" w:rsidRDefault="00811755"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 xml:space="preserve">Meetings of the Members of Parliament, </w:t>
      </w:r>
      <w:r w:rsidR="0057434A" w:rsidRPr="008E7E4D">
        <w:rPr>
          <w:rFonts w:ascii="Times New Roman" w:hAnsi="Times New Roman" w:cs="Times New Roman"/>
          <w:color w:val="000000" w:themeColor="text1"/>
        </w:rPr>
        <w:t>the Senate, and the Parliament</w:t>
      </w:r>
      <w:r w:rsidR="008E7E4D" w:rsidRPr="008E7E4D">
        <w:rPr>
          <w:rFonts w:ascii="Times New Roman" w:hAnsi="Times New Roman" w:cs="Times New Roman"/>
          <w:color w:val="000000" w:themeColor="text1"/>
        </w:rPr>
        <w:t>;</w:t>
      </w:r>
    </w:p>
    <w:p w14:paraId="45C620A4" w14:textId="5E10784C" w:rsidR="0057434A" w:rsidRPr="008E7E4D" w:rsidRDefault="0057434A"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Meetings for the preparation of judgments or court order</w:t>
      </w:r>
      <w:r w:rsidR="008E7E4D" w:rsidRPr="008E7E4D">
        <w:rPr>
          <w:rFonts w:ascii="Times New Roman" w:hAnsi="Times New Roman" w:cs="Times New Roman"/>
          <w:color w:val="000000" w:themeColor="text1"/>
        </w:rPr>
        <w:t>s;</w:t>
      </w:r>
    </w:p>
    <w:p w14:paraId="37052801" w14:textId="77777777" w:rsidR="008E7E4D" w:rsidRPr="008E7E4D" w:rsidRDefault="00611AB4"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 xml:space="preserve">Meetings according to the </w:t>
      </w:r>
      <w:r w:rsidR="00A84733" w:rsidRPr="008E7E4D">
        <w:rPr>
          <w:rFonts w:ascii="Times New Roman" w:hAnsi="Times New Roman" w:cs="Times New Roman"/>
          <w:color w:val="000000" w:themeColor="text1"/>
        </w:rPr>
        <w:t>process of the procurement for governmental agencies, local governmental agencies, state enterprises, public organizations, and other state agencies</w:t>
      </w:r>
      <w:r w:rsidR="008E7E4D" w:rsidRPr="008E7E4D">
        <w:rPr>
          <w:rFonts w:ascii="Times New Roman" w:hAnsi="Times New Roman" w:cs="Times New Roman"/>
          <w:color w:val="000000" w:themeColor="text1"/>
        </w:rPr>
        <w:t>; and,</w:t>
      </w:r>
    </w:p>
    <w:p w14:paraId="37881DDE" w14:textId="2FDC0F4A" w:rsidR="00BB331E" w:rsidRPr="008E7E4D" w:rsidRDefault="008E7E4D" w:rsidP="008E7E4D">
      <w:pPr>
        <w:pStyle w:val="ListParagraph"/>
        <w:numPr>
          <w:ilvl w:val="0"/>
          <w:numId w:val="15"/>
        </w:numPr>
        <w:spacing w:after="0" w:line="0" w:lineRule="atLeast"/>
        <w:jc w:val="both"/>
        <w:rPr>
          <w:rFonts w:ascii="Times New Roman" w:hAnsi="Times New Roman" w:cs="Times New Roman"/>
          <w:color w:val="000000" w:themeColor="text1"/>
        </w:rPr>
      </w:pPr>
      <w:r w:rsidRPr="008E7E4D">
        <w:rPr>
          <w:rFonts w:ascii="Times New Roman" w:hAnsi="Times New Roman" w:cs="Times New Roman"/>
          <w:color w:val="000000" w:themeColor="text1"/>
        </w:rPr>
        <w:t>Other meetings as specified in Ministerial Regulations.</w:t>
      </w:r>
      <w:r w:rsidR="009560C2" w:rsidRPr="008E7E4D">
        <w:rPr>
          <w:rFonts w:ascii="Times New Roman" w:hAnsi="Times New Roman" w:cs="Times New Roman"/>
          <w:color w:val="000000" w:themeColor="text1"/>
        </w:rPr>
        <w:t xml:space="preserve"> </w:t>
      </w:r>
      <w:r w:rsidR="00263CAF" w:rsidRPr="008E7E4D">
        <w:rPr>
          <w:rFonts w:ascii="Times New Roman" w:hAnsi="Times New Roman" w:cs="Times New Roman"/>
          <w:color w:val="000000" w:themeColor="text1"/>
        </w:rPr>
        <w:t xml:space="preserve"> </w:t>
      </w:r>
    </w:p>
    <w:p w14:paraId="0EAA6BEE" w14:textId="7AE8188A" w:rsidR="00BB331E" w:rsidRDefault="00BB331E" w:rsidP="0021352B">
      <w:pPr>
        <w:spacing w:after="0" w:line="0" w:lineRule="atLeast"/>
        <w:jc w:val="both"/>
        <w:rPr>
          <w:rFonts w:ascii="Times New Roman" w:hAnsi="Times New Roman" w:cs="Times New Roman"/>
          <w:color w:val="000000" w:themeColor="text1"/>
        </w:rPr>
      </w:pPr>
    </w:p>
    <w:p w14:paraId="12C71B26" w14:textId="6173E17F" w:rsidR="00A03718" w:rsidRDefault="00FC61C3"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According to the note to this Act, this Act was</w:t>
      </w:r>
      <w:r w:rsidR="000F462D">
        <w:rPr>
          <w:rFonts w:ascii="Times New Roman" w:hAnsi="Times New Roman" w:cs="Times New Roman"/>
          <w:color w:val="000000" w:themeColor="text1"/>
        </w:rPr>
        <w:t xml:space="preserve"> enacted in response to the COVID-19 situation</w:t>
      </w:r>
      <w:r w:rsidR="006F5C7A">
        <w:rPr>
          <w:rFonts w:ascii="Times New Roman" w:hAnsi="Times New Roman" w:cs="Times New Roman"/>
          <w:color w:val="000000" w:themeColor="text1"/>
        </w:rPr>
        <w:t xml:space="preserve"> and</w:t>
      </w:r>
      <w:r w:rsidR="00775BCD">
        <w:rPr>
          <w:rFonts w:ascii="Times New Roman" w:hAnsi="Times New Roman" w:cs="Times New Roman"/>
          <w:color w:val="000000" w:themeColor="text1"/>
        </w:rPr>
        <w:t>,</w:t>
      </w:r>
      <w:r w:rsidR="006F5C7A">
        <w:rPr>
          <w:rFonts w:ascii="Times New Roman" w:hAnsi="Times New Roman" w:cs="Times New Roman"/>
          <w:color w:val="000000" w:themeColor="text1"/>
        </w:rPr>
        <w:t xml:space="preserve"> social distancing requirements</w:t>
      </w:r>
      <w:r w:rsidR="001729D4">
        <w:rPr>
          <w:rFonts w:ascii="Times New Roman" w:hAnsi="Times New Roman" w:cs="Times New Roman"/>
          <w:color w:val="000000" w:themeColor="text1"/>
        </w:rPr>
        <w:t xml:space="preserve"> which it </w:t>
      </w:r>
      <w:r w:rsidR="00A40BBE">
        <w:rPr>
          <w:rFonts w:ascii="Times New Roman" w:hAnsi="Times New Roman" w:cs="Times New Roman"/>
          <w:color w:val="000000" w:themeColor="text1"/>
        </w:rPr>
        <w:t xml:space="preserve">created. </w:t>
      </w:r>
      <w:r w:rsidR="00BE6C06">
        <w:rPr>
          <w:rFonts w:ascii="Times New Roman" w:hAnsi="Times New Roman" w:cs="Times New Roman"/>
          <w:color w:val="000000" w:themeColor="text1"/>
        </w:rPr>
        <w:t xml:space="preserve">It also states that </w:t>
      </w:r>
      <w:r w:rsidR="009C0504">
        <w:rPr>
          <w:rFonts w:ascii="Times New Roman" w:hAnsi="Times New Roman" w:cs="Times New Roman"/>
          <w:color w:val="000000" w:themeColor="text1"/>
        </w:rPr>
        <w:t xml:space="preserve">there is the necessity to </w:t>
      </w:r>
      <w:r w:rsidR="00A40BBE">
        <w:rPr>
          <w:rFonts w:ascii="Times New Roman" w:hAnsi="Times New Roman" w:cs="Times New Roman"/>
          <w:color w:val="000000" w:themeColor="text1"/>
        </w:rPr>
        <w:t xml:space="preserve">enable </w:t>
      </w:r>
      <w:r w:rsidR="00730B99">
        <w:rPr>
          <w:rFonts w:ascii="Times New Roman" w:hAnsi="Times New Roman" w:cs="Times New Roman"/>
          <w:color w:val="000000" w:themeColor="text1"/>
        </w:rPr>
        <w:t xml:space="preserve">state administration as well as the private sector to </w:t>
      </w:r>
      <w:r w:rsidR="004B02F0">
        <w:rPr>
          <w:rFonts w:ascii="Times New Roman" w:hAnsi="Times New Roman" w:cs="Times New Roman"/>
          <w:color w:val="000000" w:themeColor="text1"/>
        </w:rPr>
        <w:t xml:space="preserve">continue their activities. </w:t>
      </w:r>
      <w:r w:rsidR="00AC1FDD">
        <w:rPr>
          <w:rFonts w:ascii="Times New Roman" w:hAnsi="Times New Roman" w:cs="Times New Roman"/>
          <w:color w:val="000000" w:themeColor="text1"/>
        </w:rPr>
        <w:t xml:space="preserve">The notes recognizes the </w:t>
      </w:r>
      <w:r w:rsidR="00F40998">
        <w:rPr>
          <w:rFonts w:ascii="Times New Roman" w:hAnsi="Times New Roman" w:cs="Times New Roman"/>
          <w:color w:val="000000" w:themeColor="text1"/>
        </w:rPr>
        <w:t xml:space="preserve">problem </w:t>
      </w:r>
      <w:r w:rsidR="005F5761">
        <w:rPr>
          <w:rFonts w:ascii="Times New Roman" w:hAnsi="Times New Roman" w:cs="Times New Roman"/>
          <w:color w:val="000000" w:themeColor="text1"/>
        </w:rPr>
        <w:t xml:space="preserve">whereby companies are being </w:t>
      </w:r>
      <w:r w:rsidR="000970C6">
        <w:rPr>
          <w:rFonts w:ascii="Times New Roman" w:hAnsi="Times New Roman" w:cs="Times New Roman"/>
          <w:color w:val="000000" w:themeColor="text1"/>
        </w:rPr>
        <w:t xml:space="preserve">forced to indefinitely postpone general shareholders meetings. </w:t>
      </w:r>
      <w:r w:rsidR="00A03718">
        <w:rPr>
          <w:rFonts w:ascii="Times New Roman" w:hAnsi="Times New Roman" w:cs="Times New Roman"/>
          <w:color w:val="000000" w:themeColor="text1"/>
        </w:rPr>
        <w:t>One can draw the inference from the note, and definition of Meeting Attendant</w:t>
      </w:r>
      <w:r w:rsidR="00DA5386">
        <w:rPr>
          <w:rFonts w:ascii="Times New Roman" w:hAnsi="Times New Roman" w:cs="Times New Roman"/>
          <w:color w:val="000000" w:themeColor="text1"/>
        </w:rPr>
        <w:t xml:space="preserve">, and the fact that </w:t>
      </w:r>
      <w:r w:rsidR="00461FDB">
        <w:rPr>
          <w:rFonts w:ascii="Times New Roman" w:hAnsi="Times New Roman" w:cs="Times New Roman"/>
          <w:color w:val="000000" w:themeColor="text1"/>
        </w:rPr>
        <w:t>they are not in the list of Exclusions,</w:t>
      </w:r>
      <w:r w:rsidR="00A03718">
        <w:rPr>
          <w:rFonts w:ascii="Times New Roman" w:hAnsi="Times New Roman" w:cs="Times New Roman"/>
          <w:color w:val="000000" w:themeColor="text1"/>
        </w:rPr>
        <w:t xml:space="preserve"> that this act is applicable to, inter alia, board of directors meetings, and shareholder</w:t>
      </w:r>
      <w:r w:rsidR="00785486">
        <w:rPr>
          <w:rFonts w:ascii="Times New Roman" w:hAnsi="Times New Roman" w:cs="Times New Roman"/>
          <w:color w:val="000000" w:themeColor="text1"/>
        </w:rPr>
        <w:t xml:space="preserve"> meetings</w:t>
      </w:r>
      <w:r w:rsidR="006D7BA3">
        <w:rPr>
          <w:rFonts w:ascii="Times New Roman" w:hAnsi="Times New Roman" w:cs="Times New Roman"/>
          <w:color w:val="000000" w:themeColor="text1"/>
        </w:rPr>
        <w:t xml:space="preserve"> of private limited companies and public limited companies. </w:t>
      </w:r>
    </w:p>
    <w:p w14:paraId="79FA3F88" w14:textId="7B27D81E" w:rsidR="0009251C" w:rsidRDefault="0009251C" w:rsidP="0021352B">
      <w:pPr>
        <w:spacing w:after="0" w:line="0" w:lineRule="atLeast"/>
        <w:jc w:val="both"/>
        <w:rPr>
          <w:rFonts w:ascii="Times New Roman" w:hAnsi="Times New Roman" w:cs="Times New Roman"/>
          <w:color w:val="000000" w:themeColor="text1"/>
        </w:rPr>
      </w:pPr>
    </w:p>
    <w:p w14:paraId="51C24DA5" w14:textId="72BD7D46" w:rsidR="00BB628A" w:rsidRDefault="00A4368A" w:rsidP="0021352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 text of the Act </w:t>
      </w:r>
      <w:r w:rsidR="007D712A">
        <w:rPr>
          <w:rFonts w:ascii="Times New Roman" w:hAnsi="Times New Roman" w:cs="Times New Roman"/>
          <w:color w:val="000000" w:themeColor="text1"/>
        </w:rPr>
        <w:t>is silent as to the location of the Meeting Attendant</w:t>
      </w:r>
      <w:r w:rsidR="00887895">
        <w:rPr>
          <w:rFonts w:ascii="Times New Roman" w:hAnsi="Times New Roman" w:cs="Times New Roman"/>
          <w:color w:val="000000" w:themeColor="text1"/>
        </w:rPr>
        <w:t xml:space="preserve">s or the meeting organizer. It also does not prohibit all Meeting Attendants to participate from outside of Thailand. </w:t>
      </w:r>
      <w:r w:rsidR="00713764">
        <w:rPr>
          <w:rFonts w:ascii="Times New Roman" w:hAnsi="Times New Roman" w:cs="Times New Roman"/>
          <w:color w:val="000000" w:themeColor="text1"/>
        </w:rPr>
        <w:t xml:space="preserve">The note also </w:t>
      </w:r>
      <w:r w:rsidR="00787DBD">
        <w:rPr>
          <w:rFonts w:ascii="Times New Roman" w:hAnsi="Times New Roman" w:cs="Times New Roman"/>
          <w:color w:val="000000" w:themeColor="text1"/>
        </w:rPr>
        <w:t xml:space="preserve">recognizes that the previous requirement that </w:t>
      </w:r>
      <w:r w:rsidR="00F33424">
        <w:rPr>
          <w:rFonts w:ascii="Times New Roman" w:hAnsi="Times New Roman" w:cs="Times New Roman"/>
          <w:color w:val="000000" w:themeColor="text1"/>
        </w:rPr>
        <w:t>certain meeting participants</w:t>
      </w:r>
      <w:r w:rsidR="00254499">
        <w:rPr>
          <w:rFonts w:ascii="Times New Roman" w:hAnsi="Times New Roman" w:cs="Times New Roman"/>
          <w:color w:val="000000" w:themeColor="text1"/>
        </w:rPr>
        <w:t xml:space="preserve"> </w:t>
      </w:r>
      <w:r w:rsidR="00F33424">
        <w:rPr>
          <w:rFonts w:ascii="Times New Roman" w:hAnsi="Times New Roman" w:cs="Times New Roman"/>
          <w:color w:val="000000" w:themeColor="text1"/>
        </w:rPr>
        <w:t>be located</w:t>
      </w:r>
      <w:r>
        <w:rPr>
          <w:rFonts w:ascii="Times New Roman" w:hAnsi="Times New Roman" w:cs="Times New Roman"/>
          <w:color w:val="000000" w:themeColor="text1"/>
        </w:rPr>
        <w:t xml:space="preserve"> i</w:t>
      </w:r>
      <w:r w:rsidR="00F33424">
        <w:rPr>
          <w:rFonts w:ascii="Times New Roman" w:hAnsi="Times New Roman" w:cs="Times New Roman"/>
          <w:color w:val="000000" w:themeColor="text1"/>
        </w:rPr>
        <w:t xml:space="preserve">n Thailand </w:t>
      </w:r>
      <w:r w:rsidR="008D6505">
        <w:rPr>
          <w:rFonts w:ascii="Times New Roman" w:hAnsi="Times New Roman" w:cs="Times New Roman"/>
          <w:color w:val="000000" w:themeColor="text1"/>
        </w:rPr>
        <w:t>is no</w:t>
      </w:r>
      <w:r w:rsidR="00B87DD7">
        <w:rPr>
          <w:rFonts w:ascii="Times New Roman" w:hAnsi="Times New Roman" w:cs="Times New Roman"/>
          <w:color w:val="000000" w:themeColor="text1"/>
        </w:rPr>
        <w:t xml:space="preserve"> longer </w:t>
      </w:r>
      <w:r w:rsidR="008D2B53">
        <w:rPr>
          <w:rFonts w:ascii="Times New Roman" w:hAnsi="Times New Roman" w:cs="Times New Roman"/>
          <w:color w:val="000000" w:themeColor="text1"/>
        </w:rPr>
        <w:t>in line with current times, and that relevant technology has advanced</w:t>
      </w:r>
      <w:r w:rsidR="00E75293">
        <w:rPr>
          <w:rFonts w:ascii="Times New Roman" w:hAnsi="Times New Roman" w:cs="Times New Roman"/>
          <w:color w:val="000000" w:themeColor="text1"/>
        </w:rPr>
        <w:t>. Therefore, it would be safe to conclude that</w:t>
      </w:r>
      <w:r w:rsidR="009D73CA">
        <w:rPr>
          <w:rFonts w:ascii="Times New Roman" w:hAnsi="Times New Roman" w:cs="Times New Roman"/>
          <w:color w:val="000000" w:themeColor="text1"/>
        </w:rPr>
        <w:t xml:space="preserve">, </w:t>
      </w:r>
      <w:r w:rsidR="00E75293">
        <w:rPr>
          <w:rFonts w:ascii="Times New Roman" w:hAnsi="Times New Roman" w:cs="Times New Roman"/>
          <w:color w:val="000000" w:themeColor="text1"/>
        </w:rPr>
        <w:t xml:space="preserve">none of the Meeting Participants </w:t>
      </w:r>
      <w:r w:rsidR="00E23589">
        <w:rPr>
          <w:rFonts w:ascii="Times New Roman" w:hAnsi="Times New Roman" w:cs="Times New Roman"/>
          <w:color w:val="000000" w:themeColor="text1"/>
        </w:rPr>
        <w:t xml:space="preserve">necessarily </w:t>
      </w:r>
      <w:r w:rsidR="00E75293">
        <w:rPr>
          <w:rFonts w:ascii="Times New Roman" w:hAnsi="Times New Roman" w:cs="Times New Roman"/>
          <w:color w:val="000000" w:themeColor="text1"/>
        </w:rPr>
        <w:t xml:space="preserve">needs to be </w:t>
      </w:r>
      <w:r w:rsidR="00E23589">
        <w:rPr>
          <w:rFonts w:ascii="Times New Roman" w:hAnsi="Times New Roman" w:cs="Times New Roman"/>
          <w:color w:val="000000" w:themeColor="text1"/>
        </w:rPr>
        <w:t xml:space="preserve">in Thailand </w:t>
      </w:r>
      <w:r w:rsidR="00746B07">
        <w:rPr>
          <w:rFonts w:ascii="Times New Roman" w:hAnsi="Times New Roman" w:cs="Times New Roman"/>
          <w:color w:val="000000" w:themeColor="text1"/>
        </w:rPr>
        <w:t>during the meeting.</w:t>
      </w:r>
    </w:p>
    <w:p w14:paraId="247AA257" w14:textId="77777777" w:rsidR="00BB628A" w:rsidRDefault="00BB628A" w:rsidP="0021352B">
      <w:pPr>
        <w:spacing w:after="0" w:line="0" w:lineRule="atLeast"/>
        <w:jc w:val="both"/>
        <w:rPr>
          <w:rFonts w:ascii="Times New Roman" w:hAnsi="Times New Roman" w:cs="Times New Roman"/>
          <w:color w:val="000000" w:themeColor="text1"/>
        </w:rPr>
      </w:pPr>
    </w:p>
    <w:p w14:paraId="6F0DD14F" w14:textId="1180B3D0" w:rsidR="008238E1" w:rsidRPr="00E2710B" w:rsidRDefault="00E2710B" w:rsidP="00E2710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H</w:t>
      </w:r>
      <w:r w:rsidR="007F15F7" w:rsidRPr="00E2710B">
        <w:rPr>
          <w:rFonts w:ascii="Times New Roman" w:hAnsi="Times New Roman" w:cs="Times New Roman"/>
          <w:color w:val="000000" w:themeColor="text1"/>
        </w:rPr>
        <w:t>owever, a</w:t>
      </w:r>
      <w:r w:rsidR="00537FEC" w:rsidRPr="00E2710B">
        <w:rPr>
          <w:rFonts w:ascii="Times New Roman" w:hAnsi="Times New Roman" w:cs="Times New Roman"/>
          <w:color w:val="000000" w:themeColor="text1"/>
        </w:rPr>
        <w:t xml:space="preserve"> meeting organizer must satisfy the following c</w:t>
      </w:r>
      <w:r w:rsidR="0005088E" w:rsidRPr="00E2710B">
        <w:rPr>
          <w:rFonts w:ascii="Times New Roman" w:hAnsi="Times New Roman" w:cs="Times New Roman"/>
          <w:color w:val="000000" w:themeColor="text1"/>
        </w:rPr>
        <w:t>onditions</w:t>
      </w:r>
      <w:r w:rsidR="00537FEC" w:rsidRPr="00E2710B">
        <w:rPr>
          <w:rFonts w:ascii="Times New Roman" w:hAnsi="Times New Roman" w:cs="Times New Roman"/>
          <w:color w:val="000000" w:themeColor="text1"/>
        </w:rPr>
        <w:t xml:space="preserve">, to </w:t>
      </w:r>
      <w:r w:rsidR="007C7BD6" w:rsidRPr="00E2710B">
        <w:rPr>
          <w:rFonts w:ascii="Times New Roman" w:hAnsi="Times New Roman" w:cs="Times New Roman"/>
          <w:color w:val="000000" w:themeColor="text1"/>
        </w:rPr>
        <w:t>hold a valid “</w:t>
      </w:r>
      <w:r w:rsidR="008238E1" w:rsidRPr="00E2710B">
        <w:rPr>
          <w:rFonts w:ascii="Times New Roman" w:hAnsi="Times New Roman" w:cs="Times New Roman"/>
          <w:color w:val="000000" w:themeColor="text1"/>
        </w:rPr>
        <w:t>meeting via electronic means</w:t>
      </w:r>
      <w:r w:rsidR="007C7BD6" w:rsidRPr="00E2710B">
        <w:rPr>
          <w:rFonts w:ascii="Times New Roman" w:hAnsi="Times New Roman" w:cs="Times New Roman"/>
          <w:color w:val="000000" w:themeColor="text1"/>
        </w:rPr>
        <w:t>”:</w:t>
      </w:r>
    </w:p>
    <w:p w14:paraId="1BDAB07A" w14:textId="77777777" w:rsidR="00066842" w:rsidRPr="00EE3FB7" w:rsidRDefault="00C8057A"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Arrange for Meeting Attendants to identify themselves</w:t>
      </w:r>
      <w:r w:rsidR="00066842" w:rsidRPr="00EE3FB7">
        <w:rPr>
          <w:rFonts w:ascii="Times New Roman" w:hAnsi="Times New Roman" w:cs="Times New Roman"/>
          <w:color w:val="000000" w:themeColor="text1"/>
        </w:rPr>
        <w:t>, via electronic means, before the meeting starts;</w:t>
      </w:r>
    </w:p>
    <w:p w14:paraId="315E8BEC" w14:textId="77777777" w:rsidR="00892C31" w:rsidRPr="00EE3FB7" w:rsidRDefault="00892C31"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Enable meeting attendants to vote, whether it is open voting or secret voting;</w:t>
      </w:r>
    </w:p>
    <w:p w14:paraId="58D96606" w14:textId="3AE2BB3C" w:rsidR="008874FB" w:rsidRPr="00EE3FB7" w:rsidRDefault="006849B2"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t xml:space="preserve">Prepare </w:t>
      </w:r>
      <w:r w:rsidR="008874FB" w:rsidRPr="00EE3FB7">
        <w:rPr>
          <w:rFonts w:ascii="Times New Roman" w:hAnsi="Times New Roman" w:cs="Times New Roman"/>
          <w:color w:val="000000" w:themeColor="text1"/>
        </w:rPr>
        <w:t>written minutes of the meeting;</w:t>
      </w:r>
    </w:p>
    <w:p w14:paraId="495459D2" w14:textId="68A28DDD" w:rsidR="00504588" w:rsidRPr="00EE3FB7" w:rsidRDefault="00DB732D" w:rsidP="00EE3FB7">
      <w:pPr>
        <w:pStyle w:val="ListParagraph"/>
        <w:numPr>
          <w:ilvl w:val="0"/>
          <w:numId w:val="17"/>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Record </w:t>
      </w:r>
      <w:r w:rsidR="0003691A" w:rsidRPr="00EE3FB7">
        <w:rPr>
          <w:rFonts w:ascii="Times New Roman" w:hAnsi="Times New Roman" w:cs="Times New Roman"/>
          <w:color w:val="000000" w:themeColor="text1"/>
        </w:rPr>
        <w:t>Enabl</w:t>
      </w:r>
      <w:r w:rsidR="00E02999" w:rsidRPr="00EE3FB7">
        <w:rPr>
          <w:rFonts w:ascii="Times New Roman" w:hAnsi="Times New Roman" w:cs="Times New Roman"/>
          <w:color w:val="000000" w:themeColor="text1"/>
        </w:rPr>
        <w:t>e</w:t>
      </w:r>
      <w:r w:rsidR="0044446A" w:rsidRPr="00EE3FB7">
        <w:rPr>
          <w:rFonts w:ascii="Times New Roman" w:hAnsi="Times New Roman" w:cs="Times New Roman"/>
          <w:color w:val="000000" w:themeColor="text1"/>
        </w:rPr>
        <w:t xml:space="preserve"> audio or audiovisual recording of </w:t>
      </w:r>
      <w:r w:rsidR="00E83BDE" w:rsidRPr="00EE3FB7">
        <w:rPr>
          <w:rFonts w:ascii="Times New Roman" w:hAnsi="Times New Roman" w:cs="Times New Roman"/>
          <w:color w:val="000000" w:themeColor="text1"/>
        </w:rPr>
        <w:t xml:space="preserve">all Meeting Attendants, throughout the entire </w:t>
      </w:r>
      <w:r w:rsidR="00504588" w:rsidRPr="00EE3FB7">
        <w:rPr>
          <w:rFonts w:ascii="Times New Roman" w:hAnsi="Times New Roman" w:cs="Times New Roman"/>
          <w:color w:val="000000" w:themeColor="text1"/>
        </w:rPr>
        <w:t>meeting, in electronic data format, except if it is a secret meeting;</w:t>
      </w:r>
    </w:p>
    <w:p w14:paraId="2E379449" w14:textId="77777777" w:rsidR="008039F7" w:rsidRDefault="00AC16B8" w:rsidP="00EE3FB7">
      <w:pPr>
        <w:pStyle w:val="ListParagraph"/>
        <w:numPr>
          <w:ilvl w:val="0"/>
          <w:numId w:val="17"/>
        </w:numPr>
        <w:spacing w:after="0" w:line="0" w:lineRule="atLeast"/>
        <w:jc w:val="both"/>
        <w:rPr>
          <w:rFonts w:ascii="Times New Roman" w:hAnsi="Times New Roman" w:cs="Times New Roman"/>
          <w:color w:val="000000" w:themeColor="text1"/>
        </w:rPr>
      </w:pPr>
      <w:r w:rsidRPr="00EE3FB7">
        <w:rPr>
          <w:rFonts w:ascii="Times New Roman" w:hAnsi="Times New Roman" w:cs="Times New Roman"/>
          <w:color w:val="000000" w:themeColor="text1"/>
        </w:rPr>
        <w:lastRenderedPageBreak/>
        <w:t>Preserve the electronic traffic dat</w:t>
      </w:r>
      <w:r w:rsidR="00CF137D">
        <w:rPr>
          <w:rFonts w:ascii="Times New Roman" w:hAnsi="Times New Roman" w:cs="Times New Roman"/>
          <w:color w:val="000000" w:themeColor="text1"/>
        </w:rPr>
        <w:t>a</w:t>
      </w:r>
      <w:r w:rsidRPr="00EE3FB7">
        <w:rPr>
          <w:rFonts w:ascii="Times New Roman" w:hAnsi="Times New Roman" w:cs="Times New Roman"/>
          <w:color w:val="000000" w:themeColor="text1"/>
        </w:rPr>
        <w:t xml:space="preserve"> of all Meeting Attendants</w:t>
      </w:r>
      <w:r w:rsidR="00D508C4">
        <w:rPr>
          <w:rFonts w:ascii="Times New Roman" w:hAnsi="Times New Roman" w:cs="Times New Roman"/>
          <w:color w:val="000000" w:themeColor="text1"/>
        </w:rPr>
        <w:t xml:space="preserve">; </w:t>
      </w:r>
    </w:p>
    <w:p w14:paraId="721D02EF" w14:textId="7B7C5A04" w:rsidR="007F15F7" w:rsidRDefault="00E2710B" w:rsidP="00EE3FB7">
      <w:pPr>
        <w:pStyle w:val="ListParagraph"/>
        <w:numPr>
          <w:ilvl w:val="0"/>
          <w:numId w:val="17"/>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 </w:t>
      </w:r>
      <w:r w:rsidR="00647230">
        <w:rPr>
          <w:rFonts w:ascii="Times New Roman" w:hAnsi="Times New Roman" w:cs="Times New Roman"/>
          <w:color w:val="000000" w:themeColor="text1"/>
        </w:rPr>
        <w:t xml:space="preserve">security standards of the meeting must satisfy requirements </w:t>
      </w:r>
      <w:r w:rsidR="00D83750">
        <w:rPr>
          <w:rFonts w:ascii="Times New Roman" w:hAnsi="Times New Roman" w:cs="Times New Roman"/>
          <w:color w:val="000000" w:themeColor="text1"/>
        </w:rPr>
        <w:t>specified by the Ministry of Digital Economy and Society, as will be published in the Government Gazette. (</w:t>
      </w:r>
      <w:r w:rsidR="00890950">
        <w:rPr>
          <w:rFonts w:ascii="Times New Roman" w:hAnsi="Times New Roman" w:cs="Times New Roman"/>
          <w:color w:val="000000" w:themeColor="text1"/>
        </w:rPr>
        <w:t xml:space="preserve">Until this is published, </w:t>
      </w:r>
      <w:r w:rsidR="00CD0682">
        <w:rPr>
          <w:rFonts w:ascii="Times New Roman" w:hAnsi="Times New Roman" w:cs="Times New Roman"/>
          <w:color w:val="000000" w:themeColor="text1"/>
        </w:rPr>
        <w:t xml:space="preserve">the security standards under the </w:t>
      </w:r>
      <w:r w:rsidR="00836150">
        <w:rPr>
          <w:rFonts w:ascii="Times New Roman" w:hAnsi="Times New Roman" w:cs="Times New Roman"/>
          <w:color w:val="000000" w:themeColor="text1"/>
        </w:rPr>
        <w:t xml:space="preserve">Notification of the Ministry of Communication and Information Technology </w:t>
      </w:r>
      <w:r w:rsidR="004A52BD">
        <w:rPr>
          <w:rFonts w:ascii="Times New Roman" w:hAnsi="Times New Roman" w:cs="Times New Roman"/>
          <w:color w:val="000000" w:themeColor="text1"/>
        </w:rPr>
        <w:t xml:space="preserve">R.e. Security Policy and Standards of Conference Meeting </w:t>
      </w:r>
      <w:r w:rsidR="005F77CD">
        <w:rPr>
          <w:rFonts w:ascii="Times New Roman" w:hAnsi="Times New Roman" w:cs="Times New Roman"/>
          <w:color w:val="000000" w:themeColor="text1"/>
        </w:rPr>
        <w:t xml:space="preserve">Through Electronic Devices B.E. 2557 (2014) </w:t>
      </w:r>
      <w:r w:rsidR="00D06247">
        <w:rPr>
          <w:rFonts w:ascii="Times New Roman" w:hAnsi="Times New Roman" w:cs="Times New Roman"/>
          <w:color w:val="000000" w:themeColor="text1"/>
        </w:rPr>
        <w:t>must be satisfied.)</w:t>
      </w:r>
      <w:r w:rsidR="0039089B">
        <w:rPr>
          <w:rFonts w:ascii="Times New Roman" w:hAnsi="Times New Roman" w:cs="Times New Roman"/>
          <w:color w:val="000000" w:themeColor="text1"/>
        </w:rPr>
        <w:t xml:space="preserve"> (See Appendix </w:t>
      </w:r>
      <w:r w:rsidR="0039089B">
        <w:rPr>
          <w:rFonts w:ascii="Times New Roman" w:hAnsi="Times New Roman" w:hint="cs"/>
          <w:color w:val="000000" w:themeColor="text1"/>
          <w:szCs w:val="28"/>
          <w:cs/>
          <w:lang w:bidi="th-TH"/>
        </w:rPr>
        <w:t>ก</w:t>
      </w:r>
      <w:r w:rsidR="005D4A72">
        <w:rPr>
          <w:rFonts w:ascii="Times New Roman" w:hAnsi="Times New Roman" w:hint="cs"/>
          <w:color w:val="000000" w:themeColor="text1"/>
          <w:szCs w:val="28"/>
          <w:cs/>
          <w:lang w:bidi="th-TH"/>
        </w:rPr>
        <w:t xml:space="preserve"> </w:t>
      </w:r>
      <w:r w:rsidR="00CA076D">
        <w:rPr>
          <w:rFonts w:ascii="Times New Roman" w:hAnsi="Times New Roman"/>
          <w:color w:val="000000" w:themeColor="text1"/>
          <w:szCs w:val="28"/>
          <w:lang w:bidi="th-TH"/>
        </w:rPr>
        <w:t xml:space="preserve">in </w:t>
      </w:r>
      <w:hyperlink r:id="rId9" w:history="1">
        <w:r w:rsidR="00CA076D" w:rsidRPr="0095404C">
          <w:rPr>
            <w:rStyle w:val="Hyperlink"/>
            <w:rFonts w:ascii="Times New Roman" w:hAnsi="Times New Roman"/>
            <w:szCs w:val="28"/>
            <w:lang w:bidi="th-TH"/>
          </w:rPr>
          <w:t>th</w:t>
        </w:r>
        <w:r w:rsidR="00266468" w:rsidRPr="0095404C">
          <w:rPr>
            <w:rStyle w:val="Hyperlink"/>
            <w:rFonts w:ascii="Times New Roman" w:hAnsi="Times New Roman"/>
            <w:szCs w:val="28"/>
            <w:lang w:bidi="th-TH"/>
          </w:rPr>
          <w:t>is government issued brochure</w:t>
        </w:r>
      </w:hyperlink>
      <w:r w:rsidR="00266468">
        <w:rPr>
          <w:rFonts w:ascii="Times New Roman" w:hAnsi="Times New Roman"/>
          <w:color w:val="000000" w:themeColor="text1"/>
          <w:szCs w:val="28"/>
          <w:lang w:bidi="th-TH"/>
        </w:rPr>
        <w:t xml:space="preserve"> </w:t>
      </w:r>
      <w:r w:rsidR="005D4A72">
        <w:rPr>
          <w:rFonts w:ascii="Times New Roman" w:hAnsi="Times New Roman"/>
          <w:color w:val="000000" w:themeColor="text1"/>
          <w:szCs w:val="28"/>
          <w:lang w:bidi="th-TH"/>
        </w:rPr>
        <w:t>for further details.</w:t>
      </w:r>
      <w:r w:rsidR="005D4A72">
        <w:rPr>
          <w:rFonts w:ascii="Times New Roman" w:hAnsi="Times New Roman" w:hint="eastAsia"/>
          <w:color w:val="000000" w:themeColor="text1"/>
          <w:szCs w:val="28"/>
          <w:lang w:bidi="th-TH"/>
        </w:rPr>
        <w:t>)</w:t>
      </w:r>
    </w:p>
    <w:p w14:paraId="113AD857" w14:textId="2D963EC3" w:rsidR="009B48B9" w:rsidRDefault="009B48B9" w:rsidP="009B48B9">
      <w:pPr>
        <w:spacing w:after="0" w:line="0" w:lineRule="atLeast"/>
        <w:jc w:val="both"/>
        <w:rPr>
          <w:rFonts w:ascii="Times New Roman" w:hAnsi="Times New Roman" w:cs="Times New Roman"/>
          <w:color w:val="000000" w:themeColor="text1"/>
        </w:rPr>
      </w:pPr>
    </w:p>
    <w:p w14:paraId="57B6C2DA" w14:textId="58510150" w:rsidR="00765EB7" w:rsidRDefault="000E2D70" w:rsidP="009B48B9">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Under the Act, </w:t>
      </w:r>
      <w:r w:rsidR="00435CF9">
        <w:rPr>
          <w:rFonts w:ascii="Times New Roman" w:hAnsi="Times New Roman" w:cs="Times New Roman"/>
          <w:color w:val="000000" w:themeColor="text1"/>
        </w:rPr>
        <w:t xml:space="preserve">notices </w:t>
      </w:r>
      <w:r w:rsidR="00746B07">
        <w:rPr>
          <w:rFonts w:ascii="Times New Roman" w:hAnsi="Times New Roman" w:cs="Times New Roman"/>
          <w:color w:val="000000" w:themeColor="text1"/>
        </w:rPr>
        <w:t xml:space="preserve">for calling Meetings Via Electronic Means can </w:t>
      </w:r>
      <w:r>
        <w:rPr>
          <w:rFonts w:ascii="Times New Roman" w:hAnsi="Times New Roman" w:cs="Times New Roman"/>
          <w:color w:val="000000" w:themeColor="text1"/>
        </w:rPr>
        <w:t xml:space="preserve">be sent by e-mail. Therefore, there is no longer the requirement to send </w:t>
      </w:r>
      <w:r w:rsidR="009102E8">
        <w:rPr>
          <w:rFonts w:ascii="Times New Roman" w:hAnsi="Times New Roman" w:cs="Times New Roman"/>
          <w:color w:val="000000" w:themeColor="text1"/>
        </w:rPr>
        <w:t>invitations to shareholders by Thai registered mail, when calling a general shareholders</w:t>
      </w:r>
      <w:r w:rsidR="008D7AD9">
        <w:rPr>
          <w:rFonts w:ascii="Times New Roman" w:hAnsi="Times New Roman" w:cs="Times New Roman"/>
          <w:color w:val="000000" w:themeColor="text1"/>
        </w:rPr>
        <w:t xml:space="preserve"> meeting</w:t>
      </w:r>
      <w:r w:rsidR="00765EB7">
        <w:rPr>
          <w:rFonts w:ascii="Times New Roman" w:hAnsi="Times New Roman" w:cs="Times New Roman"/>
          <w:color w:val="000000" w:themeColor="text1"/>
        </w:rPr>
        <w:t>.</w:t>
      </w:r>
      <w:r w:rsidR="00547F2C">
        <w:rPr>
          <w:rFonts w:ascii="Times New Roman" w:hAnsi="Times New Roman" w:cs="Times New Roman"/>
          <w:color w:val="000000" w:themeColor="text1"/>
        </w:rPr>
        <w:t xml:space="preserve"> However, such notice must be </w:t>
      </w:r>
      <w:r w:rsidR="009B5A2D">
        <w:rPr>
          <w:rFonts w:ascii="Times New Roman" w:hAnsi="Times New Roman" w:cs="Times New Roman"/>
          <w:color w:val="000000" w:themeColor="text1"/>
        </w:rPr>
        <w:t>preserved (</w:t>
      </w:r>
      <w:r w:rsidR="000278E7">
        <w:rPr>
          <w:rFonts w:ascii="Times New Roman" w:hAnsi="Times New Roman" w:cs="Times New Roman"/>
          <w:color w:val="000000" w:themeColor="text1"/>
        </w:rPr>
        <w:t>hard copy or in electronic format</w:t>
      </w:r>
      <w:r w:rsidR="009B5A2D">
        <w:rPr>
          <w:rFonts w:ascii="Times New Roman" w:hAnsi="Times New Roman" w:cs="Times New Roman"/>
          <w:color w:val="000000" w:themeColor="text1"/>
        </w:rPr>
        <w:t>)</w:t>
      </w:r>
      <w:r w:rsidR="000278E7">
        <w:rPr>
          <w:rFonts w:ascii="Times New Roman" w:hAnsi="Times New Roman" w:cs="Times New Roman"/>
          <w:color w:val="000000" w:themeColor="text1"/>
        </w:rPr>
        <w:t>.</w:t>
      </w:r>
    </w:p>
    <w:p w14:paraId="463EABBE" w14:textId="77777777" w:rsidR="00765EB7" w:rsidRDefault="00765EB7" w:rsidP="009B48B9">
      <w:pPr>
        <w:spacing w:after="0" w:line="0" w:lineRule="atLeast"/>
        <w:jc w:val="both"/>
        <w:rPr>
          <w:rFonts w:ascii="Times New Roman" w:hAnsi="Times New Roman" w:cs="Times New Roman"/>
          <w:color w:val="000000" w:themeColor="text1"/>
        </w:rPr>
      </w:pPr>
    </w:p>
    <w:p w14:paraId="7CDAC933" w14:textId="77777777" w:rsidR="00BF6967" w:rsidRPr="00843678" w:rsidRDefault="00BF6967" w:rsidP="00FC775A">
      <w:pPr>
        <w:spacing w:after="0" w:line="0" w:lineRule="atLeast"/>
        <w:rPr>
          <w:rFonts w:ascii="Times New Roman" w:hAnsi="Times New Roman" w:cs="Times New Roman"/>
          <w:color w:val="000000" w:themeColor="text1"/>
        </w:rPr>
      </w:pPr>
    </w:p>
    <w:p w14:paraId="20932AC2" w14:textId="37796271" w:rsidR="00A31703" w:rsidRPr="00843678" w:rsidRDefault="00AB08B8"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Deadline extensions (VAT, Withholding Tax, Specific Business Tax, and Stamp Duty)</w:t>
      </w:r>
    </w:p>
    <w:p w14:paraId="0D084843" w14:textId="77777777" w:rsidR="001C6074" w:rsidRPr="00843678" w:rsidRDefault="00AB08B8" w:rsidP="00A31703">
      <w:pPr>
        <w:spacing w:after="0"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xml:space="preserve">The deadline to file and pay VAT, Withholding Tas, Specific Business Tax, and Stamp Duty has been extended as per the following table. </w:t>
      </w:r>
      <w:r w:rsidR="001C6074" w:rsidRPr="00843678">
        <w:rPr>
          <w:rFonts w:ascii="Times New Roman" w:hAnsi="Times New Roman" w:cs="Times New Roman"/>
          <w:color w:val="000000" w:themeColor="text1"/>
        </w:rPr>
        <w:t xml:space="preserve"> </w:t>
      </w:r>
    </w:p>
    <w:p w14:paraId="451740AD" w14:textId="77777777" w:rsidR="001C6074" w:rsidRPr="00843678" w:rsidRDefault="001C6074" w:rsidP="00A31703">
      <w:pPr>
        <w:spacing w:after="0" w:line="0" w:lineRule="atLeast"/>
        <w:rPr>
          <w:rFonts w:ascii="Times New Roman" w:hAnsi="Times New Roman" w:cs="Times New Roman"/>
          <w:color w:val="000000" w:themeColor="text1"/>
        </w:rPr>
      </w:pPr>
    </w:p>
    <w:p w14:paraId="3103471F" w14:textId="1DEBB073" w:rsidR="00A97111" w:rsidRPr="00843678" w:rsidRDefault="001C6074" w:rsidP="00A31703">
      <w:pPr>
        <w:spacing w:after="0"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Applicability:</w:t>
      </w:r>
      <w:r w:rsidR="00AB08B8" w:rsidRPr="00843678">
        <w:rPr>
          <w:rFonts w:ascii="Times New Roman" w:hAnsi="Times New Roman" w:cs="Times New Roman"/>
          <w:color w:val="000000" w:themeColor="text1"/>
        </w:rPr>
        <w:t xml:space="preserve"> </w:t>
      </w:r>
      <w:r w:rsidR="003479CE" w:rsidRPr="00843678">
        <w:rPr>
          <w:rFonts w:ascii="Times New Roman" w:hAnsi="Times New Roman" w:cs="Times New Roman"/>
          <w:color w:val="000000" w:themeColor="text1"/>
        </w:rPr>
        <w:t>All business operators that require extensions for the filing and payment of the subject taxes due to the impact of COVID-19.</w:t>
      </w:r>
    </w:p>
    <w:p w14:paraId="75DCF56E" w14:textId="77777777" w:rsidR="001C6074" w:rsidRPr="00843678" w:rsidRDefault="001C6074" w:rsidP="00A31703">
      <w:pPr>
        <w:spacing w:after="0" w:line="0" w:lineRule="atLeast"/>
        <w:rPr>
          <w:rFonts w:ascii="Times New Roman" w:hAnsi="Times New Roman" w:cs="Times New Roman"/>
          <w:b/>
          <w:bCs/>
          <w:color w:val="000000" w:themeColor="text1"/>
          <w:u w:val="single"/>
        </w:rPr>
      </w:pPr>
    </w:p>
    <w:tbl>
      <w:tblPr>
        <w:tblStyle w:val="TableGrid"/>
        <w:tblW w:w="0" w:type="auto"/>
        <w:tblLook w:val="04A0" w:firstRow="1" w:lastRow="0" w:firstColumn="1" w:lastColumn="0" w:noHBand="0" w:noVBand="1"/>
      </w:tblPr>
      <w:tblGrid>
        <w:gridCol w:w="1975"/>
        <w:gridCol w:w="1530"/>
        <w:gridCol w:w="1080"/>
        <w:gridCol w:w="2160"/>
        <w:gridCol w:w="2271"/>
      </w:tblGrid>
      <w:tr w:rsidR="00564F08" w:rsidRPr="00843678" w14:paraId="3C436178" w14:textId="77777777" w:rsidTr="00564F08">
        <w:trPr>
          <w:trHeight w:val="323"/>
        </w:trPr>
        <w:tc>
          <w:tcPr>
            <w:tcW w:w="9016" w:type="dxa"/>
            <w:gridSpan w:val="5"/>
            <w:tcBorders>
              <w:bottom w:val="single" w:sz="4" w:space="0" w:color="auto"/>
            </w:tcBorders>
          </w:tcPr>
          <w:p w14:paraId="006EF897" w14:textId="1983F526" w:rsidR="00564F08" w:rsidRPr="00843678" w:rsidRDefault="003479CE" w:rsidP="001C6074">
            <w:pPr>
              <w:spacing w:line="0" w:lineRule="atLeast"/>
              <w:jc w:val="right"/>
              <w:rPr>
                <w:rFonts w:ascii="Times New Roman" w:hAnsi="Times New Roman" w:cs="Times New Roman"/>
                <w:color w:val="000000" w:themeColor="text1"/>
              </w:rPr>
            </w:pPr>
            <w:r w:rsidRPr="00843678">
              <w:rPr>
                <w:rFonts w:ascii="Times New Roman" w:hAnsi="Times New Roman" w:cs="Times New Roman"/>
                <w:color w:val="000000" w:themeColor="text1"/>
              </w:rPr>
              <w:t>(For 2020)</w:t>
            </w:r>
          </w:p>
        </w:tc>
      </w:tr>
      <w:tr w:rsidR="00564F08" w:rsidRPr="00843678" w14:paraId="5ECC3FEF" w14:textId="77777777" w:rsidTr="003479CE">
        <w:trPr>
          <w:trHeight w:val="935"/>
        </w:trPr>
        <w:tc>
          <w:tcPr>
            <w:tcW w:w="1975" w:type="dxa"/>
            <w:tcBorders>
              <w:top w:val="single" w:sz="4" w:space="0" w:color="auto"/>
            </w:tcBorders>
            <w:vAlign w:val="center"/>
          </w:tcPr>
          <w:p w14:paraId="5C5ADB73" w14:textId="203ADCE4"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Category</w:t>
            </w:r>
          </w:p>
        </w:tc>
        <w:tc>
          <w:tcPr>
            <w:tcW w:w="1530" w:type="dxa"/>
            <w:tcBorders>
              <w:top w:val="single" w:sz="4" w:space="0" w:color="auto"/>
            </w:tcBorders>
            <w:vAlign w:val="center"/>
          </w:tcPr>
          <w:p w14:paraId="24A1B0E8" w14:textId="5E887542"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Form No.</w:t>
            </w:r>
          </w:p>
        </w:tc>
        <w:tc>
          <w:tcPr>
            <w:tcW w:w="1080" w:type="dxa"/>
            <w:tcBorders>
              <w:top w:val="single" w:sz="4" w:space="0" w:color="auto"/>
            </w:tcBorders>
            <w:vAlign w:val="center"/>
          </w:tcPr>
          <w:p w14:paraId="6A0C7DDC" w14:textId="5F772261" w:rsidR="003479CE"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 Tax Month</w:t>
            </w:r>
          </w:p>
        </w:tc>
        <w:tc>
          <w:tcPr>
            <w:tcW w:w="2160" w:type="dxa"/>
            <w:tcBorders>
              <w:top w:val="single" w:sz="4" w:space="0" w:color="auto"/>
            </w:tcBorders>
            <w:vAlign w:val="center"/>
          </w:tcPr>
          <w:p w14:paraId="090E43F2" w14:textId="19F64231"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w:t>
            </w:r>
          </w:p>
        </w:tc>
        <w:tc>
          <w:tcPr>
            <w:tcW w:w="2271" w:type="dxa"/>
            <w:tcBorders>
              <w:top w:val="single" w:sz="4" w:space="0" w:color="auto"/>
            </w:tcBorders>
            <w:vAlign w:val="center"/>
          </w:tcPr>
          <w:p w14:paraId="7611821F" w14:textId="35FE37CA" w:rsidR="003479CE"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New Special Extended Deadline</w:t>
            </w:r>
          </w:p>
          <w:p w14:paraId="03513E36" w14:textId="5CA9B855" w:rsidR="00A97111" w:rsidRPr="00843678" w:rsidRDefault="003479CE" w:rsidP="001C6074">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(Filing &amp; Payment)</w:t>
            </w:r>
          </w:p>
        </w:tc>
      </w:tr>
      <w:tr w:rsidR="00564F08" w:rsidRPr="00843678" w14:paraId="2C907DCA" w14:textId="77777777" w:rsidTr="001C6074">
        <w:trPr>
          <w:trHeight w:val="1160"/>
        </w:trPr>
        <w:tc>
          <w:tcPr>
            <w:tcW w:w="1975" w:type="dxa"/>
            <w:vMerge w:val="restart"/>
          </w:tcPr>
          <w:p w14:paraId="7FFEFD4D" w14:textId="34A09665" w:rsidR="00A97111" w:rsidRPr="00843678" w:rsidRDefault="00A97111"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Withholding Tax</w:t>
            </w:r>
          </w:p>
        </w:tc>
        <w:tc>
          <w:tcPr>
            <w:tcW w:w="1530" w:type="dxa"/>
            <w:vMerge w:val="restart"/>
          </w:tcPr>
          <w:p w14:paraId="25A02A80" w14:textId="77777777" w:rsidR="003479CE"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1</w:t>
            </w:r>
            <w:r w:rsidR="003479CE" w:rsidRPr="00843678">
              <w:rPr>
                <w:rFonts w:ascii="Times New Roman" w:hAnsi="Times New Roman" w:cs="Times New Roman"/>
                <w:color w:val="000000" w:themeColor="text1"/>
              </w:rPr>
              <w:t xml:space="preserve"> </w:t>
            </w:r>
          </w:p>
          <w:p w14:paraId="1459F895" w14:textId="1BE1199C" w:rsidR="00A97111" w:rsidRPr="00843678" w:rsidRDefault="003479CE" w:rsidP="001C6074">
            <w:pPr>
              <w:spacing w:line="0" w:lineRule="atLeast"/>
              <w:ind w:left="-3"/>
              <w:rPr>
                <w:rFonts w:ascii="Times New Roman" w:hAnsi="Times New Roman" w:cs="Times New Roman"/>
                <w:color w:val="000000" w:themeColor="text1"/>
              </w:rPr>
            </w:pPr>
            <w:r w:rsidRPr="00843678">
              <w:rPr>
                <w:rFonts w:ascii="Times New Roman" w:hAnsi="Times New Roman" w:cs="Times New Roman"/>
                <w:color w:val="000000" w:themeColor="text1"/>
              </w:rPr>
              <w:t>(For employee salary, etc.)</w:t>
            </w:r>
          </w:p>
          <w:p w14:paraId="00AE8C69"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2</w:t>
            </w:r>
          </w:p>
          <w:p w14:paraId="52D9038E"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3</w:t>
            </w:r>
          </w:p>
          <w:p w14:paraId="2190BD0C"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53</w:t>
            </w:r>
          </w:p>
          <w:p w14:paraId="74486DED" w14:textId="0A61569B"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PND 54</w:t>
            </w:r>
          </w:p>
        </w:tc>
        <w:tc>
          <w:tcPr>
            <w:tcW w:w="1080" w:type="dxa"/>
            <w:tcBorders>
              <w:bottom w:val="dotted" w:sz="4" w:space="0" w:color="auto"/>
            </w:tcBorders>
          </w:tcPr>
          <w:p w14:paraId="19AE2026" w14:textId="593ADDAF" w:rsidR="00A97111"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6A64F113" w14:textId="7480CA5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7</w:t>
            </w:r>
            <w:r w:rsidRPr="00843678">
              <w:rPr>
                <w:rFonts w:ascii="Times New Roman" w:hAnsi="Times New Roman" w:cs="Times New Roman"/>
                <w:color w:val="000000" w:themeColor="text1"/>
                <w:vertAlign w:val="superscript"/>
              </w:rPr>
              <w:t>th</w:t>
            </w:r>
          </w:p>
          <w:p w14:paraId="280A1F16"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6E126338" w14:textId="2D201D81"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r w:rsidRPr="00843678">
              <w:rPr>
                <w:rFonts w:ascii="Times New Roman" w:hAnsi="Times New Roman" w:cs="Times New Roman"/>
                <w:color w:val="000000" w:themeColor="text1"/>
                <w:vertAlign w:val="superscript"/>
              </w:rPr>
              <w:t>th</w:t>
            </w:r>
          </w:p>
          <w:p w14:paraId="4714FF0C" w14:textId="56B6A704" w:rsidR="00A97111"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29FF1FF1" w14:textId="116B6188"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0B8947B4" w14:textId="0741EC75" w:rsidR="00A97111"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564F08" w:rsidRPr="00843678" w14:paraId="2D1130F5" w14:textId="77777777" w:rsidTr="001C6074">
        <w:trPr>
          <w:trHeight w:val="1151"/>
        </w:trPr>
        <w:tc>
          <w:tcPr>
            <w:tcW w:w="1975" w:type="dxa"/>
            <w:vMerge/>
          </w:tcPr>
          <w:p w14:paraId="66CBE478" w14:textId="77777777" w:rsidR="00A97111" w:rsidRPr="00843678" w:rsidRDefault="00A97111" w:rsidP="001C6074">
            <w:pPr>
              <w:spacing w:line="0" w:lineRule="atLeast"/>
              <w:rPr>
                <w:rFonts w:ascii="Times New Roman" w:hAnsi="Times New Roman" w:cs="Times New Roman"/>
                <w:color w:val="000000" w:themeColor="text1"/>
              </w:rPr>
            </w:pPr>
          </w:p>
        </w:tc>
        <w:tc>
          <w:tcPr>
            <w:tcW w:w="1530" w:type="dxa"/>
            <w:vMerge/>
          </w:tcPr>
          <w:p w14:paraId="3708C2E9" w14:textId="77777777" w:rsidR="00A97111" w:rsidRPr="00843678" w:rsidRDefault="00A97111"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62A2D06" w14:textId="66EDD8B7" w:rsidR="00A97111"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33E455B0" w14:textId="7777777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7</w:t>
            </w:r>
            <w:r w:rsidRPr="00843678">
              <w:rPr>
                <w:rFonts w:ascii="Times New Roman" w:hAnsi="Times New Roman" w:cs="Times New Roman"/>
                <w:color w:val="000000" w:themeColor="text1"/>
                <w:vertAlign w:val="superscript"/>
              </w:rPr>
              <w:t>th</w:t>
            </w:r>
          </w:p>
          <w:p w14:paraId="6D2A8DE1" w14:textId="5E2D3476"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0F6C021C" w14:textId="4C144251"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698EC7B5" w14:textId="4AA26890" w:rsidR="00A97111"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259054C8" w14:textId="77777777" w:rsidR="00A97111" w:rsidRPr="00843678" w:rsidRDefault="00A97111" w:rsidP="001C6074">
            <w:pPr>
              <w:spacing w:line="0" w:lineRule="atLeast"/>
              <w:rPr>
                <w:rFonts w:ascii="Times New Roman" w:hAnsi="Times New Roman" w:cs="Times New Roman"/>
                <w:color w:val="000000" w:themeColor="text1"/>
              </w:rPr>
            </w:pPr>
          </w:p>
        </w:tc>
      </w:tr>
      <w:tr w:rsidR="003479CE" w:rsidRPr="00843678" w14:paraId="3D9DE18B" w14:textId="77777777" w:rsidTr="003479CE">
        <w:trPr>
          <w:trHeight w:val="1151"/>
        </w:trPr>
        <w:tc>
          <w:tcPr>
            <w:tcW w:w="1975" w:type="dxa"/>
            <w:vMerge w:val="restart"/>
          </w:tcPr>
          <w:p w14:paraId="3E36671B" w14:textId="27B050AE"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VAT (Por Por 36)</w:t>
            </w:r>
          </w:p>
        </w:tc>
        <w:tc>
          <w:tcPr>
            <w:tcW w:w="1530" w:type="dxa"/>
            <w:vMerge w:val="restart"/>
          </w:tcPr>
          <w:p w14:paraId="5BC8966D"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Por 36</w:t>
            </w:r>
          </w:p>
          <w:p w14:paraId="481E3D8A" w14:textId="4694F6B0" w:rsidR="003479CE" w:rsidRPr="00843678" w:rsidRDefault="003479CE" w:rsidP="001C6074">
            <w:pPr>
              <w:spacing w:line="0" w:lineRule="atLeast"/>
              <w:ind w:left="-3"/>
              <w:rPr>
                <w:rFonts w:ascii="Times New Roman" w:hAnsi="Times New Roman" w:cs="Times New Roman"/>
                <w:color w:val="000000" w:themeColor="text1"/>
              </w:rPr>
            </w:pPr>
            <w:r w:rsidRPr="00843678">
              <w:rPr>
                <w:rFonts w:ascii="Times New Roman" w:hAnsi="Times New Roman" w:cs="Times New Roman"/>
                <w:color w:val="000000" w:themeColor="text1"/>
              </w:rPr>
              <w:t>(For royalty payments, import of services etc.)</w:t>
            </w:r>
          </w:p>
        </w:tc>
        <w:tc>
          <w:tcPr>
            <w:tcW w:w="1080" w:type="dxa"/>
            <w:tcBorders>
              <w:bottom w:val="dotted" w:sz="4" w:space="0" w:color="auto"/>
            </w:tcBorders>
          </w:tcPr>
          <w:p w14:paraId="4B2BC2F4" w14:textId="66BE1E32"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44C15327" w14:textId="52D3DEF8"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7</w:t>
            </w:r>
            <w:r w:rsidRPr="00843678">
              <w:rPr>
                <w:rFonts w:ascii="Times New Roman" w:hAnsi="Times New Roman" w:cs="Times New Roman"/>
                <w:color w:val="000000" w:themeColor="text1"/>
                <w:vertAlign w:val="superscript"/>
              </w:rPr>
              <w:t>th</w:t>
            </w:r>
          </w:p>
          <w:p w14:paraId="7696572F"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08CC8780" w14:textId="37C72838"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r w:rsidRPr="00843678">
              <w:rPr>
                <w:rFonts w:ascii="Times New Roman" w:hAnsi="Times New Roman" w:cs="Times New Roman"/>
                <w:color w:val="000000" w:themeColor="text1"/>
                <w:vertAlign w:val="superscript"/>
              </w:rPr>
              <w:t>th</w:t>
            </w:r>
          </w:p>
          <w:p w14:paraId="65949B23" w14:textId="491A7D29"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2BD003A0" w14:textId="5FBE959E"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11106921" w14:textId="6627E498"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3479CE" w:rsidRPr="00843678" w14:paraId="2EB36B3F" w14:textId="77777777" w:rsidTr="003479CE">
        <w:trPr>
          <w:trHeight w:val="1241"/>
        </w:trPr>
        <w:tc>
          <w:tcPr>
            <w:tcW w:w="1975" w:type="dxa"/>
            <w:vMerge/>
          </w:tcPr>
          <w:p w14:paraId="03B98690" w14:textId="77777777" w:rsidR="003479CE" w:rsidRPr="00843678" w:rsidRDefault="003479CE" w:rsidP="001C6074">
            <w:pPr>
              <w:spacing w:line="0" w:lineRule="atLeast"/>
              <w:rPr>
                <w:rFonts w:ascii="Times New Roman" w:hAnsi="Times New Roman" w:cs="Times New Roman"/>
                <w:color w:val="000000" w:themeColor="text1"/>
              </w:rPr>
            </w:pPr>
          </w:p>
        </w:tc>
        <w:tc>
          <w:tcPr>
            <w:tcW w:w="1530" w:type="dxa"/>
            <w:vMerge/>
          </w:tcPr>
          <w:p w14:paraId="7F6C00B9"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D64C52C" w14:textId="639B539D"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7F9CCB3B" w14:textId="7777777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7</w:t>
            </w:r>
            <w:r w:rsidRPr="00843678">
              <w:rPr>
                <w:rFonts w:ascii="Times New Roman" w:hAnsi="Times New Roman" w:cs="Times New Roman"/>
                <w:color w:val="000000" w:themeColor="text1"/>
                <w:vertAlign w:val="superscript"/>
              </w:rPr>
              <w:t>th</w:t>
            </w:r>
          </w:p>
          <w:p w14:paraId="403353F5" w14:textId="77777777"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50DF7E28" w14:textId="3B48A127" w:rsidR="003479CE" w:rsidRPr="00843678" w:rsidRDefault="003479CE" w:rsidP="001C6074">
            <w:pPr>
              <w:pStyle w:val="ListParagraph"/>
              <w:numPr>
                <w:ilvl w:val="0"/>
                <w:numId w:val="10"/>
              </w:numPr>
              <w:spacing w:line="0" w:lineRule="atLeast"/>
              <w:ind w:left="250" w:hanging="20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1A52963A" w14:textId="6971E15C" w:rsidR="003479CE" w:rsidRPr="00843678" w:rsidRDefault="003479CE" w:rsidP="001C6074">
            <w:pPr>
              <w:pStyle w:val="ListParagraph"/>
              <w:spacing w:line="0" w:lineRule="atLeast"/>
              <w:ind w:left="250"/>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6D59F25A" w14:textId="77777777" w:rsidR="003479CE" w:rsidRPr="00843678" w:rsidRDefault="003479CE" w:rsidP="001C6074">
            <w:pPr>
              <w:spacing w:line="0" w:lineRule="atLeast"/>
              <w:rPr>
                <w:rFonts w:ascii="Times New Roman" w:hAnsi="Times New Roman" w:cs="Times New Roman"/>
                <w:color w:val="000000" w:themeColor="text1"/>
              </w:rPr>
            </w:pPr>
          </w:p>
        </w:tc>
      </w:tr>
      <w:tr w:rsidR="003479CE" w:rsidRPr="00843678" w14:paraId="395965DA" w14:textId="77777777" w:rsidTr="008B07B7">
        <w:trPr>
          <w:trHeight w:val="1259"/>
        </w:trPr>
        <w:tc>
          <w:tcPr>
            <w:tcW w:w="1975" w:type="dxa"/>
            <w:vMerge w:val="restart"/>
          </w:tcPr>
          <w:p w14:paraId="6CE26111" w14:textId="54A2395A"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VAT (Por Por 30)</w:t>
            </w:r>
          </w:p>
        </w:tc>
        <w:tc>
          <w:tcPr>
            <w:tcW w:w="1530" w:type="dxa"/>
            <w:vMerge w:val="restart"/>
          </w:tcPr>
          <w:p w14:paraId="43B2C5A2" w14:textId="5B22F82A"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Por 30</w:t>
            </w:r>
          </w:p>
        </w:tc>
        <w:tc>
          <w:tcPr>
            <w:tcW w:w="1080" w:type="dxa"/>
            <w:tcBorders>
              <w:bottom w:val="dotted" w:sz="4" w:space="0" w:color="auto"/>
            </w:tcBorders>
          </w:tcPr>
          <w:p w14:paraId="3C54A674" w14:textId="05F45830"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6501B13F"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p>
          <w:p w14:paraId="397FAE66"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3740E951"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23</w:t>
            </w:r>
            <w:r w:rsidRPr="00843678">
              <w:rPr>
                <w:rFonts w:ascii="Times New Roman" w:hAnsi="Times New Roman" w:cs="Times New Roman"/>
                <w:color w:val="000000" w:themeColor="text1"/>
                <w:vertAlign w:val="superscript"/>
              </w:rPr>
              <w:t>rd</w:t>
            </w:r>
          </w:p>
          <w:p w14:paraId="2650B240" w14:textId="0166B6E5"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6CFBBFE6" w14:textId="77777777"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0D2FDA5" w14:textId="1212636D" w:rsidR="003479CE" w:rsidRPr="00843678" w:rsidRDefault="003479CE"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3479CE" w:rsidRPr="00843678" w14:paraId="25CDA6DF" w14:textId="77777777" w:rsidTr="008B07B7">
        <w:trPr>
          <w:trHeight w:val="1259"/>
        </w:trPr>
        <w:tc>
          <w:tcPr>
            <w:tcW w:w="1975" w:type="dxa"/>
            <w:vMerge/>
          </w:tcPr>
          <w:p w14:paraId="5B53F024" w14:textId="77777777" w:rsidR="003479CE" w:rsidRPr="00843678" w:rsidRDefault="003479CE" w:rsidP="001C6074">
            <w:pPr>
              <w:spacing w:line="0" w:lineRule="atLeast"/>
              <w:rPr>
                <w:rFonts w:ascii="Times New Roman" w:hAnsi="Times New Roman" w:cs="Times New Roman"/>
                <w:color w:val="000000" w:themeColor="text1"/>
              </w:rPr>
            </w:pPr>
          </w:p>
        </w:tc>
        <w:tc>
          <w:tcPr>
            <w:tcW w:w="1530" w:type="dxa"/>
            <w:vMerge/>
          </w:tcPr>
          <w:p w14:paraId="3E3075E3" w14:textId="77777777" w:rsidR="003479CE" w:rsidRPr="00843678" w:rsidRDefault="003479CE"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4275304" w14:textId="20B39BEE" w:rsidR="003479CE" w:rsidRPr="00843678" w:rsidRDefault="003479CE" w:rsidP="001C6074">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2CA67345"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5ED15797"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4BC43B77"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53A89A37" w14:textId="67E04F12"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0631210D" w14:textId="77777777" w:rsidR="003479CE" w:rsidRPr="00843678" w:rsidRDefault="003479CE" w:rsidP="001C6074">
            <w:pPr>
              <w:spacing w:line="0" w:lineRule="atLeast"/>
              <w:rPr>
                <w:rFonts w:ascii="Times New Roman" w:hAnsi="Times New Roman" w:cs="Times New Roman"/>
                <w:color w:val="000000" w:themeColor="text1"/>
              </w:rPr>
            </w:pPr>
          </w:p>
        </w:tc>
      </w:tr>
      <w:tr w:rsidR="008B07B7" w:rsidRPr="00843678" w14:paraId="242A6C08" w14:textId="77777777" w:rsidTr="008B07B7">
        <w:trPr>
          <w:trHeight w:val="1250"/>
        </w:trPr>
        <w:tc>
          <w:tcPr>
            <w:tcW w:w="1975" w:type="dxa"/>
            <w:vMerge w:val="restart"/>
          </w:tcPr>
          <w:p w14:paraId="48FC43B2" w14:textId="77777777" w:rsidR="001C6074"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Specific Business Tax</w:t>
            </w:r>
          </w:p>
          <w:p w14:paraId="35A53DE7" w14:textId="38C06C01"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(The purchase and sale of immovable property for commercial purposes are not subject to this extension measure)</w:t>
            </w:r>
          </w:p>
        </w:tc>
        <w:tc>
          <w:tcPr>
            <w:tcW w:w="1530" w:type="dxa"/>
            <w:vMerge w:val="restart"/>
          </w:tcPr>
          <w:p w14:paraId="1F44A6D4" w14:textId="29DEF2D7" w:rsidR="008B07B7" w:rsidRPr="00843678" w:rsidRDefault="008B07B7"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Por Tor 40</w:t>
            </w:r>
          </w:p>
        </w:tc>
        <w:tc>
          <w:tcPr>
            <w:tcW w:w="1080" w:type="dxa"/>
            <w:tcBorders>
              <w:bottom w:val="dotted" w:sz="4" w:space="0" w:color="auto"/>
            </w:tcBorders>
          </w:tcPr>
          <w:p w14:paraId="27C0D9AD" w14:textId="57A3E93E"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March</w:t>
            </w:r>
          </w:p>
        </w:tc>
        <w:tc>
          <w:tcPr>
            <w:tcW w:w="2160" w:type="dxa"/>
            <w:tcBorders>
              <w:bottom w:val="dotted" w:sz="4" w:space="0" w:color="auto"/>
            </w:tcBorders>
          </w:tcPr>
          <w:p w14:paraId="16AA75CD"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15</w:t>
            </w:r>
          </w:p>
          <w:p w14:paraId="2475FE1C"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1C4B0A09"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April 23</w:t>
            </w:r>
            <w:r w:rsidRPr="00843678">
              <w:rPr>
                <w:rFonts w:ascii="Times New Roman" w:hAnsi="Times New Roman" w:cs="Times New Roman"/>
                <w:color w:val="000000" w:themeColor="text1"/>
                <w:vertAlign w:val="superscript"/>
              </w:rPr>
              <w:t>rd</w:t>
            </w:r>
          </w:p>
          <w:p w14:paraId="33274FD0" w14:textId="5D302D69"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val="restart"/>
          </w:tcPr>
          <w:p w14:paraId="4B78C8FF" w14:textId="77777777"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62DBFF9" w14:textId="73C3C06A"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(For both paper and online filing)</w:t>
            </w:r>
          </w:p>
        </w:tc>
      </w:tr>
      <w:tr w:rsidR="008B07B7" w:rsidRPr="00843678" w14:paraId="3375C525" w14:textId="77777777" w:rsidTr="003479CE">
        <w:trPr>
          <w:trHeight w:val="1898"/>
        </w:trPr>
        <w:tc>
          <w:tcPr>
            <w:tcW w:w="1975" w:type="dxa"/>
            <w:vMerge/>
          </w:tcPr>
          <w:p w14:paraId="7D19A62D" w14:textId="77777777" w:rsidR="008B07B7" w:rsidRPr="00843678" w:rsidRDefault="008B07B7" w:rsidP="001C6074">
            <w:pPr>
              <w:spacing w:line="0" w:lineRule="atLeast"/>
              <w:rPr>
                <w:rFonts w:ascii="Times New Roman" w:hAnsi="Times New Roman" w:cs="Times New Roman"/>
                <w:color w:val="000000" w:themeColor="text1"/>
              </w:rPr>
            </w:pPr>
          </w:p>
        </w:tc>
        <w:tc>
          <w:tcPr>
            <w:tcW w:w="1530" w:type="dxa"/>
            <w:vMerge/>
          </w:tcPr>
          <w:p w14:paraId="5C09019C" w14:textId="77777777" w:rsidR="008B07B7" w:rsidRPr="00843678" w:rsidRDefault="008B07B7" w:rsidP="001C6074">
            <w:pPr>
              <w:pStyle w:val="ListParagraph"/>
              <w:numPr>
                <w:ilvl w:val="0"/>
                <w:numId w:val="9"/>
              </w:numPr>
              <w:spacing w:line="0" w:lineRule="atLeast"/>
              <w:ind w:left="261" w:hanging="264"/>
              <w:rPr>
                <w:rFonts w:ascii="Times New Roman" w:hAnsi="Times New Roman" w:cs="Times New Roman"/>
                <w:color w:val="000000" w:themeColor="text1"/>
              </w:rPr>
            </w:pPr>
          </w:p>
        </w:tc>
        <w:tc>
          <w:tcPr>
            <w:tcW w:w="1080" w:type="dxa"/>
            <w:tcBorders>
              <w:top w:val="dotted" w:sz="4" w:space="0" w:color="auto"/>
            </w:tcBorders>
          </w:tcPr>
          <w:p w14:paraId="608FA1D9" w14:textId="76CE0D33" w:rsidR="008B07B7" w:rsidRPr="00843678" w:rsidRDefault="008B07B7"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April</w:t>
            </w:r>
          </w:p>
        </w:tc>
        <w:tc>
          <w:tcPr>
            <w:tcW w:w="2160" w:type="dxa"/>
            <w:tcBorders>
              <w:top w:val="dotted" w:sz="4" w:space="0" w:color="auto"/>
            </w:tcBorders>
          </w:tcPr>
          <w:p w14:paraId="24B12D96"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p w14:paraId="3C2E9F8C" w14:textId="77777777"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paper filing)</w:t>
            </w:r>
          </w:p>
          <w:p w14:paraId="5EA9DFB8" w14:textId="77777777" w:rsidR="008B07B7" w:rsidRPr="00843678" w:rsidRDefault="008B07B7" w:rsidP="001C6074">
            <w:pPr>
              <w:pStyle w:val="ListParagraph"/>
              <w:numPr>
                <w:ilvl w:val="0"/>
                <w:numId w:val="10"/>
              </w:numPr>
              <w:spacing w:line="0" w:lineRule="atLeast"/>
              <w:ind w:left="257" w:hanging="180"/>
              <w:rPr>
                <w:rFonts w:ascii="Times New Roman" w:hAnsi="Times New Roman" w:cs="Times New Roman"/>
                <w:color w:val="000000" w:themeColor="text1"/>
              </w:rPr>
            </w:pPr>
            <w:r w:rsidRPr="00843678">
              <w:rPr>
                <w:rFonts w:ascii="Times New Roman" w:hAnsi="Times New Roman" w:cs="Times New Roman"/>
                <w:color w:val="000000" w:themeColor="text1"/>
              </w:rPr>
              <w:t>Within May 23</w:t>
            </w:r>
            <w:r w:rsidRPr="00843678">
              <w:rPr>
                <w:rFonts w:ascii="Times New Roman" w:hAnsi="Times New Roman" w:cs="Times New Roman"/>
                <w:color w:val="000000" w:themeColor="text1"/>
                <w:vertAlign w:val="superscript"/>
              </w:rPr>
              <w:t>rd</w:t>
            </w:r>
          </w:p>
          <w:p w14:paraId="0140FC6B" w14:textId="2B61FD59" w:rsidR="008B07B7" w:rsidRPr="00843678" w:rsidRDefault="008B07B7" w:rsidP="001C6074">
            <w:pPr>
              <w:pStyle w:val="ListParagraph"/>
              <w:spacing w:line="0" w:lineRule="atLeast"/>
              <w:ind w:left="257"/>
              <w:rPr>
                <w:rFonts w:ascii="Times New Roman" w:hAnsi="Times New Roman" w:cs="Times New Roman"/>
                <w:color w:val="000000" w:themeColor="text1"/>
              </w:rPr>
            </w:pPr>
            <w:r w:rsidRPr="00843678">
              <w:rPr>
                <w:rFonts w:ascii="Times New Roman" w:hAnsi="Times New Roman" w:cs="Times New Roman"/>
                <w:color w:val="000000" w:themeColor="text1"/>
              </w:rPr>
              <w:t>(If online filing)</w:t>
            </w:r>
          </w:p>
        </w:tc>
        <w:tc>
          <w:tcPr>
            <w:tcW w:w="2271" w:type="dxa"/>
            <w:vMerge/>
          </w:tcPr>
          <w:p w14:paraId="35204EA4" w14:textId="77777777" w:rsidR="008B07B7" w:rsidRPr="00843678" w:rsidRDefault="008B07B7" w:rsidP="001C6074">
            <w:pPr>
              <w:spacing w:line="0" w:lineRule="atLeast"/>
              <w:rPr>
                <w:rFonts w:ascii="Times New Roman" w:hAnsi="Times New Roman" w:cs="Times New Roman"/>
                <w:color w:val="000000" w:themeColor="text1"/>
              </w:rPr>
            </w:pPr>
          </w:p>
        </w:tc>
      </w:tr>
      <w:tr w:rsidR="00564F08" w:rsidRPr="00843678" w14:paraId="15D84EC9" w14:textId="77777777" w:rsidTr="001C6074">
        <w:trPr>
          <w:trHeight w:val="1520"/>
        </w:trPr>
        <w:tc>
          <w:tcPr>
            <w:tcW w:w="1975" w:type="dxa"/>
          </w:tcPr>
          <w:p w14:paraId="321A7F9D" w14:textId="77777777" w:rsidR="001C6074" w:rsidRPr="00843678" w:rsidRDefault="002820A0"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Stamp Duty</w:t>
            </w:r>
          </w:p>
          <w:p w14:paraId="0A7F27B5" w14:textId="499F43E6" w:rsidR="007C0D5A"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paying by cash)</w:t>
            </w:r>
          </w:p>
        </w:tc>
        <w:tc>
          <w:tcPr>
            <w:tcW w:w="1530" w:type="dxa"/>
          </w:tcPr>
          <w:p w14:paraId="3990C2CF" w14:textId="77777777"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w:t>
            </w:r>
          </w:p>
          <w:p w14:paraId="23626C5A" w14:textId="77777777"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 Gor</w:t>
            </w:r>
          </w:p>
          <w:p w14:paraId="4B22F217" w14:textId="7A0669D8" w:rsidR="002820A0" w:rsidRPr="00843678" w:rsidRDefault="002820A0" w:rsidP="001C6074">
            <w:pPr>
              <w:pStyle w:val="ListParagraph"/>
              <w:numPr>
                <w:ilvl w:val="0"/>
                <w:numId w:val="9"/>
              </w:numPr>
              <w:spacing w:line="0" w:lineRule="atLeast"/>
              <w:ind w:left="261" w:hanging="264"/>
              <w:rPr>
                <w:rFonts w:ascii="Times New Roman" w:hAnsi="Times New Roman" w:cs="Times New Roman"/>
                <w:color w:val="000000" w:themeColor="text1"/>
              </w:rPr>
            </w:pPr>
            <w:r w:rsidRPr="00843678">
              <w:rPr>
                <w:rFonts w:ascii="Times New Roman" w:hAnsi="Times New Roman" w:cs="Times New Roman"/>
                <w:color w:val="000000" w:themeColor="text1"/>
              </w:rPr>
              <w:t>Or Sor 4 Khor</w:t>
            </w:r>
          </w:p>
        </w:tc>
        <w:tc>
          <w:tcPr>
            <w:tcW w:w="1080" w:type="dxa"/>
          </w:tcPr>
          <w:p w14:paraId="16AE440F" w14:textId="77777777" w:rsidR="002820A0" w:rsidRPr="00843678" w:rsidRDefault="002820A0" w:rsidP="001C6074">
            <w:pPr>
              <w:spacing w:line="0" w:lineRule="atLeast"/>
              <w:rPr>
                <w:rFonts w:ascii="Times New Roman" w:hAnsi="Times New Roman" w:cs="Times New Roman"/>
                <w:color w:val="000000" w:themeColor="text1"/>
              </w:rPr>
            </w:pPr>
          </w:p>
        </w:tc>
        <w:tc>
          <w:tcPr>
            <w:tcW w:w="2160" w:type="dxa"/>
          </w:tcPr>
          <w:p w14:paraId="5CD089E7" w14:textId="27160B2A" w:rsidR="002820A0"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From April 1 to May 15</w:t>
            </w:r>
          </w:p>
        </w:tc>
        <w:tc>
          <w:tcPr>
            <w:tcW w:w="2271" w:type="dxa"/>
          </w:tcPr>
          <w:p w14:paraId="47475017" w14:textId="70AC982F" w:rsidR="001C6074" w:rsidRPr="00843678" w:rsidRDefault="001C6074" w:rsidP="001C6074">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Within May 15</w:t>
            </w:r>
            <w:r w:rsidRPr="00843678">
              <w:rPr>
                <w:rFonts w:ascii="Times New Roman" w:hAnsi="Times New Roman" w:cs="Times New Roman"/>
                <w:color w:val="000000" w:themeColor="text1"/>
                <w:vertAlign w:val="superscript"/>
              </w:rPr>
              <w:t>th</w:t>
            </w:r>
          </w:p>
        </w:tc>
      </w:tr>
    </w:tbl>
    <w:p w14:paraId="5C1EB88D" w14:textId="77777777" w:rsidR="00564F08" w:rsidRPr="00843678" w:rsidRDefault="00564F08" w:rsidP="00A31703">
      <w:pPr>
        <w:spacing w:after="0" w:line="0" w:lineRule="atLeast"/>
        <w:rPr>
          <w:rFonts w:ascii="Times New Roman" w:hAnsi="Times New Roman" w:cs="Times New Roman"/>
          <w:color w:val="000000" w:themeColor="text1"/>
        </w:rPr>
      </w:pPr>
    </w:p>
    <w:p w14:paraId="24ED75E7" w14:textId="77777777" w:rsidR="008915ED" w:rsidRPr="00843678" w:rsidRDefault="005B5376" w:rsidP="008915ED">
      <w:pPr>
        <w:spacing w:after="0" w:line="0" w:lineRule="atLeast"/>
        <w:jc w:val="both"/>
        <w:rPr>
          <w:rFonts w:ascii="Times New Roman" w:hAnsi="Times New Roman" w:cs="Times New Roman"/>
          <w:color w:val="000000" w:themeColor="text1"/>
          <w:sz w:val="20"/>
          <w:szCs w:val="20"/>
        </w:rPr>
      </w:pPr>
      <w:r w:rsidRPr="00843678">
        <w:rPr>
          <w:rFonts w:ascii="Times New Roman" w:hAnsi="Times New Roman" w:cs="Times New Roman"/>
          <w:color w:val="000000" w:themeColor="text1"/>
          <w:sz w:val="20"/>
          <w:szCs w:val="20"/>
        </w:rPr>
        <w:t>Source:</w:t>
      </w:r>
      <w:r w:rsidR="008915ED" w:rsidRPr="00843678">
        <w:rPr>
          <w:rFonts w:ascii="Times New Roman" w:hAnsi="Times New Roman" w:cs="Times New Roman"/>
          <w:sz w:val="20"/>
          <w:szCs w:val="20"/>
        </w:rPr>
        <w:t xml:space="preserve"> </w:t>
      </w:r>
      <w:r w:rsidR="00C027A7" w:rsidRPr="00843678">
        <w:rPr>
          <w:rFonts w:ascii="Times New Roman" w:hAnsi="Times New Roman" w:cs="Times New Roman"/>
          <w:color w:val="000000" w:themeColor="text1"/>
          <w:sz w:val="20"/>
          <w:szCs w:val="20"/>
        </w:rPr>
        <w:t>Notification of the Minis</w:t>
      </w:r>
      <w:r w:rsidR="008915ED" w:rsidRPr="00843678">
        <w:rPr>
          <w:rFonts w:ascii="Times New Roman" w:hAnsi="Times New Roman" w:cs="Times New Roman"/>
          <w:color w:val="000000" w:themeColor="text1"/>
          <w:sz w:val="20"/>
          <w:szCs w:val="20"/>
        </w:rPr>
        <w:t>try of Finance, R.e.: Extension of period of submission of tax returns, remittance or payment of tax and duty, for persons liable to remit withholding tax, persons liable to remit juristic person income tax, remittance or payment of Value Added Tax, payment of Specific Business Tax, and payment of Stamp Duty. {Original (Notified 31 March 2020); and, No. 2 (Notified 3 April 2020)}</w:t>
      </w:r>
    </w:p>
    <w:p w14:paraId="45C185A7" w14:textId="78746902" w:rsidR="00A31703" w:rsidRPr="00843678" w:rsidRDefault="008915ED" w:rsidP="008915ED">
      <w:pPr>
        <w:spacing w:after="0" w:line="0" w:lineRule="atLeast"/>
        <w:jc w:val="both"/>
        <w:rPr>
          <w:rFonts w:ascii="Times New Roman" w:hAnsi="Times New Roman" w:cs="Times New Roman"/>
          <w:color w:val="000000" w:themeColor="text1"/>
          <w:sz w:val="20"/>
          <w:szCs w:val="20"/>
        </w:rPr>
      </w:pPr>
      <w:r w:rsidRPr="00843678">
        <w:rPr>
          <w:rFonts w:ascii="Times New Roman" w:hAnsi="Times New Roman" w:cs="Times New Roman"/>
          <w:color w:val="000000" w:themeColor="text1"/>
          <w:sz w:val="20"/>
          <w:szCs w:val="20"/>
        </w:rPr>
        <w:t xml:space="preserve"> </w:t>
      </w:r>
      <w:hyperlink r:id="rId10" w:history="1">
        <w:r w:rsidRPr="00843678">
          <w:rPr>
            <w:rStyle w:val="Hyperlink"/>
            <w:rFonts w:ascii="Times New Roman" w:hAnsi="Times New Roman" w:cs="Times New Roman"/>
            <w:sz w:val="20"/>
            <w:szCs w:val="20"/>
          </w:rPr>
          <w:t>https://www.rd.go.th/publish/fileadmin/user_upload/kormor/newlaw/mfexwht2.pdf</w:t>
        </w:r>
      </w:hyperlink>
    </w:p>
    <w:p w14:paraId="22455EA9" w14:textId="5E65DDD8" w:rsidR="00DB4BA1" w:rsidRDefault="00DB4BA1" w:rsidP="00A31703">
      <w:pPr>
        <w:spacing w:after="0" w:line="0" w:lineRule="atLeast"/>
        <w:rPr>
          <w:rFonts w:ascii="Times New Roman" w:hAnsi="Times New Roman" w:cs="Times New Roman"/>
          <w:b/>
          <w:bCs/>
          <w:color w:val="000000" w:themeColor="text1"/>
          <w:u w:val="single"/>
        </w:rPr>
      </w:pPr>
    </w:p>
    <w:p w14:paraId="04FC9697" w14:textId="77777777" w:rsidR="00D77CBE" w:rsidRPr="00843678" w:rsidRDefault="00D77CBE" w:rsidP="00A31703">
      <w:pPr>
        <w:spacing w:after="0" w:line="0" w:lineRule="atLeast"/>
        <w:rPr>
          <w:rFonts w:ascii="Times New Roman" w:hAnsi="Times New Roman" w:cs="Times New Roman"/>
          <w:b/>
          <w:bCs/>
          <w:color w:val="000000" w:themeColor="text1"/>
          <w:u w:val="single"/>
        </w:rPr>
      </w:pPr>
    </w:p>
    <w:p w14:paraId="1A7093BE" w14:textId="368371A2" w:rsidR="00A651C4" w:rsidRPr="00843678" w:rsidRDefault="001C6074"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Deadline extensions (Corporate income tax)</w:t>
      </w:r>
    </w:p>
    <w:p w14:paraId="28F4D30D" w14:textId="13507A7E" w:rsidR="001C6074" w:rsidRPr="00843678" w:rsidRDefault="001C6074"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The corporate income tax (CIT) filing and payment deadlines for non-listed companies have been extended. The taxpayer must submit an application to the Revenue Department (RD) to enjoy the special extension measures.</w:t>
      </w:r>
    </w:p>
    <w:p w14:paraId="1177DCC3" w14:textId="3E5CE607" w:rsidR="001C6074" w:rsidRPr="00843678" w:rsidRDefault="001C6074" w:rsidP="00FC775A">
      <w:pPr>
        <w:spacing w:after="0" w:line="0" w:lineRule="atLeast"/>
        <w:jc w:val="both"/>
        <w:rPr>
          <w:rFonts w:ascii="Times New Roman" w:hAnsi="Times New Roman" w:cs="Times New Roman"/>
          <w:color w:val="000000" w:themeColor="text1"/>
        </w:rPr>
      </w:pPr>
    </w:p>
    <w:p w14:paraId="22C678D2" w14:textId="7F7EAA53" w:rsidR="00A651C4" w:rsidRPr="00843678" w:rsidRDefault="001C6074"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Applicability: Juristic companies and juristic partnerships, however excluding companies listed on the Thai Stock Exchange.</w:t>
      </w:r>
    </w:p>
    <w:p w14:paraId="3959332E" w14:textId="77777777" w:rsidR="00DB4BA1" w:rsidRPr="00843678" w:rsidRDefault="00DB4BA1" w:rsidP="00FC775A">
      <w:pPr>
        <w:spacing w:after="0" w:line="0" w:lineRule="atLeast"/>
        <w:jc w:val="both"/>
        <w:rPr>
          <w:rFonts w:ascii="Times New Roman" w:hAnsi="Times New Roman" w:cs="Times New Roman"/>
          <w:b/>
          <w:bCs/>
          <w:color w:val="000000" w:themeColor="text1"/>
        </w:rPr>
      </w:pPr>
    </w:p>
    <w:tbl>
      <w:tblPr>
        <w:tblStyle w:val="TableGrid"/>
        <w:tblW w:w="9017" w:type="dxa"/>
        <w:tblLook w:val="04A0" w:firstRow="1" w:lastRow="0" w:firstColumn="1" w:lastColumn="0" w:noHBand="0" w:noVBand="1"/>
      </w:tblPr>
      <w:tblGrid>
        <w:gridCol w:w="1435"/>
        <w:gridCol w:w="1260"/>
        <w:gridCol w:w="2340"/>
        <w:gridCol w:w="2070"/>
        <w:gridCol w:w="1912"/>
      </w:tblGrid>
      <w:tr w:rsidR="00A651C4" w:rsidRPr="00843678" w14:paraId="0037AFE0" w14:textId="77777777" w:rsidTr="00487450">
        <w:trPr>
          <w:trHeight w:val="638"/>
        </w:trPr>
        <w:tc>
          <w:tcPr>
            <w:tcW w:w="1435" w:type="dxa"/>
            <w:vAlign w:val="center"/>
          </w:tcPr>
          <w:p w14:paraId="3315C650" w14:textId="2DA0D317"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Type</w:t>
            </w:r>
          </w:p>
        </w:tc>
        <w:tc>
          <w:tcPr>
            <w:tcW w:w="1260" w:type="dxa"/>
            <w:vAlign w:val="center"/>
          </w:tcPr>
          <w:p w14:paraId="6565C37A" w14:textId="266A0502"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Form</w:t>
            </w:r>
          </w:p>
        </w:tc>
        <w:tc>
          <w:tcPr>
            <w:tcW w:w="2340" w:type="dxa"/>
            <w:vAlign w:val="center"/>
          </w:tcPr>
          <w:p w14:paraId="0C09060D" w14:textId="3EF10A7A"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Qualifying financial year ends</w:t>
            </w:r>
          </w:p>
        </w:tc>
        <w:tc>
          <w:tcPr>
            <w:tcW w:w="2070" w:type="dxa"/>
            <w:vAlign w:val="center"/>
          </w:tcPr>
          <w:p w14:paraId="32B99843" w14:textId="4546E32F"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deadlines (2020)</w:t>
            </w:r>
          </w:p>
        </w:tc>
        <w:tc>
          <w:tcPr>
            <w:tcW w:w="1912" w:type="dxa"/>
            <w:vAlign w:val="center"/>
          </w:tcPr>
          <w:p w14:paraId="4F26B126" w14:textId="77777777" w:rsidR="001C607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New Special Extended Deadlines</w:t>
            </w:r>
          </w:p>
          <w:p w14:paraId="1597EBA4" w14:textId="03A7181A" w:rsidR="00A651C4" w:rsidRPr="00843678" w:rsidRDefault="001C6074" w:rsidP="001A4D16">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(2020)</w:t>
            </w:r>
          </w:p>
        </w:tc>
      </w:tr>
      <w:tr w:rsidR="00A651C4" w:rsidRPr="00843678" w14:paraId="0A81753F" w14:textId="77777777" w:rsidTr="001A4D16">
        <w:trPr>
          <w:trHeight w:val="1394"/>
        </w:trPr>
        <w:tc>
          <w:tcPr>
            <w:tcW w:w="1435" w:type="dxa"/>
          </w:tcPr>
          <w:p w14:paraId="674E378F" w14:textId="77777777"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Annual CIT</w:t>
            </w:r>
          </w:p>
          <w:p w14:paraId="7362C7D0" w14:textId="321AAAAE" w:rsidR="00A651C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(Filing &amp; Payment)</w:t>
            </w:r>
          </w:p>
        </w:tc>
        <w:tc>
          <w:tcPr>
            <w:tcW w:w="1260" w:type="dxa"/>
          </w:tcPr>
          <w:p w14:paraId="069582D3" w14:textId="60F976E9" w:rsidR="00A651C4" w:rsidRPr="00843678" w:rsidRDefault="00A651C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PND50</w:t>
            </w:r>
            <w:r w:rsidR="00DB4BA1" w:rsidRPr="00843678">
              <w:rPr>
                <w:rFonts w:ascii="Times New Roman" w:hAnsi="Times New Roman" w:cs="Times New Roman"/>
                <w:color w:val="000000" w:themeColor="text1"/>
              </w:rPr>
              <w:t>*</w:t>
            </w:r>
          </w:p>
        </w:tc>
        <w:tc>
          <w:tcPr>
            <w:tcW w:w="2340" w:type="dxa"/>
          </w:tcPr>
          <w:p w14:paraId="29E8C17B" w14:textId="1C6F1620"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Nov. 2</w:t>
            </w:r>
            <w:r w:rsidRPr="00843678">
              <w:rPr>
                <w:rFonts w:ascii="Times New Roman" w:hAnsi="Times New Roman" w:cs="Times New Roman"/>
                <w:color w:val="000000" w:themeColor="text1"/>
                <w:vertAlign w:val="superscript"/>
              </w:rPr>
              <w:t>nd</w:t>
            </w:r>
            <w:r w:rsidRPr="00843678">
              <w:rPr>
                <w:rFonts w:ascii="Times New Roman" w:hAnsi="Times New Roman" w:cs="Times New Roman"/>
                <w:color w:val="000000" w:themeColor="text1"/>
              </w:rPr>
              <w:t>, 2019</w:t>
            </w:r>
          </w:p>
          <w:p w14:paraId="6CB09CA5" w14:textId="7AC3FD27" w:rsidR="001C607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to</w:t>
            </w:r>
          </w:p>
          <w:p w14:paraId="4A4E1AC7" w14:textId="1D3B6114" w:rsidR="00A651C4"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 2</w:t>
            </w:r>
            <w:r w:rsidRPr="00843678">
              <w:rPr>
                <w:rFonts w:ascii="Times New Roman" w:hAnsi="Times New Roman" w:cs="Times New Roman"/>
                <w:color w:val="000000" w:themeColor="text1"/>
                <w:vertAlign w:val="superscript"/>
              </w:rPr>
              <w:t>nd</w:t>
            </w:r>
            <w:r w:rsidRPr="00843678">
              <w:rPr>
                <w:rFonts w:ascii="Times New Roman" w:hAnsi="Times New Roman" w:cs="Times New Roman"/>
                <w:color w:val="000000" w:themeColor="text1"/>
              </w:rPr>
              <w:t>, 2020</w:t>
            </w:r>
          </w:p>
        </w:tc>
        <w:tc>
          <w:tcPr>
            <w:tcW w:w="2070" w:type="dxa"/>
          </w:tcPr>
          <w:p w14:paraId="1540A44E" w14:textId="77777777" w:rsidR="00DB4BA1" w:rsidRPr="00843678" w:rsidRDefault="001C607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150 days from the financial year end date</w:t>
            </w:r>
          </w:p>
          <w:p w14:paraId="409C2F10"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(April 1 to August 30, 2020)</w:t>
            </w:r>
          </w:p>
          <w:p w14:paraId="3B6DED9F" w14:textId="77777777" w:rsidR="00A651C4" w:rsidRPr="00843678" w:rsidRDefault="00A651C4" w:rsidP="001A4D16">
            <w:pPr>
              <w:spacing w:line="0" w:lineRule="atLeast"/>
              <w:jc w:val="center"/>
              <w:rPr>
                <w:rFonts w:ascii="Times New Roman" w:hAnsi="Times New Roman" w:cs="Times New Roman"/>
                <w:color w:val="000000" w:themeColor="text1"/>
              </w:rPr>
            </w:pPr>
          </w:p>
        </w:tc>
        <w:tc>
          <w:tcPr>
            <w:tcW w:w="1912" w:type="dxa"/>
          </w:tcPr>
          <w:p w14:paraId="112763C7"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August 31</w:t>
            </w:r>
            <w:r w:rsidRPr="00843678">
              <w:rPr>
                <w:rFonts w:ascii="Times New Roman" w:hAnsi="Times New Roman" w:cs="Times New Roman"/>
                <w:color w:val="000000" w:themeColor="text1"/>
                <w:vertAlign w:val="superscript"/>
              </w:rPr>
              <w:t>st</w:t>
            </w:r>
          </w:p>
          <w:p w14:paraId="0341B320" w14:textId="20119759" w:rsidR="009D7D0C" w:rsidRPr="00843678" w:rsidRDefault="009D7D0C" w:rsidP="001A4D16">
            <w:pPr>
              <w:spacing w:line="0" w:lineRule="atLeast"/>
              <w:jc w:val="center"/>
              <w:rPr>
                <w:rFonts w:ascii="Times New Roman" w:hAnsi="Times New Roman" w:cs="Times New Roman"/>
                <w:color w:val="000000" w:themeColor="text1"/>
              </w:rPr>
            </w:pPr>
          </w:p>
        </w:tc>
      </w:tr>
      <w:tr w:rsidR="00A651C4" w:rsidRPr="00843678" w14:paraId="3501C7ED" w14:textId="77777777" w:rsidTr="001A4D16">
        <w:trPr>
          <w:trHeight w:val="1772"/>
        </w:trPr>
        <w:tc>
          <w:tcPr>
            <w:tcW w:w="1435" w:type="dxa"/>
          </w:tcPr>
          <w:p w14:paraId="4A3AB4F7"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lastRenderedPageBreak/>
              <w:t>Half-year CIT</w:t>
            </w:r>
          </w:p>
          <w:p w14:paraId="237BA238" w14:textId="20BD9A18"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(Filing &amp; Payment)</w:t>
            </w:r>
          </w:p>
        </w:tc>
        <w:tc>
          <w:tcPr>
            <w:tcW w:w="1260" w:type="dxa"/>
          </w:tcPr>
          <w:p w14:paraId="1846C8D0" w14:textId="7EE8390B" w:rsidR="00A651C4" w:rsidRPr="00843678" w:rsidRDefault="00A651C4"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PND51</w:t>
            </w:r>
          </w:p>
        </w:tc>
        <w:tc>
          <w:tcPr>
            <w:tcW w:w="2340" w:type="dxa"/>
          </w:tcPr>
          <w:p w14:paraId="6A1F66EE"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May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p w14:paraId="544D6C70" w14:textId="77777777"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To</w:t>
            </w:r>
          </w:p>
          <w:p w14:paraId="3F4E4870" w14:textId="2C30F57C"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July 29</w:t>
            </w:r>
            <w:r w:rsidRPr="00843678">
              <w:rPr>
                <w:rFonts w:ascii="Times New Roman" w:hAnsi="Times New Roman" w:cs="Times New Roman"/>
                <w:color w:val="000000" w:themeColor="text1"/>
                <w:vertAlign w:val="superscript"/>
              </w:rPr>
              <w:t>th</w:t>
            </w:r>
            <w:r w:rsidRPr="00843678">
              <w:rPr>
                <w:rFonts w:ascii="Times New Roman" w:hAnsi="Times New Roman" w:cs="Times New Roman"/>
                <w:color w:val="000000" w:themeColor="text1"/>
              </w:rPr>
              <w:t>, 2020</w:t>
            </w:r>
          </w:p>
        </w:tc>
        <w:tc>
          <w:tcPr>
            <w:tcW w:w="2070" w:type="dxa"/>
          </w:tcPr>
          <w:p w14:paraId="32D31A23" w14:textId="7F666C8E"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2 months after the financial half-year-end date</w:t>
            </w:r>
          </w:p>
          <w:p w14:paraId="61313D35" w14:textId="082EC5BC" w:rsidR="00A651C4"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(July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xml:space="preserve"> to September 29</w:t>
            </w:r>
            <w:r w:rsidRPr="00843678">
              <w:rPr>
                <w:rFonts w:ascii="Times New Roman" w:hAnsi="Times New Roman" w:cs="Times New Roman"/>
                <w:color w:val="000000" w:themeColor="text1"/>
                <w:vertAlign w:val="superscript"/>
              </w:rPr>
              <w:t>th</w:t>
            </w:r>
            <w:r w:rsidRPr="00843678">
              <w:rPr>
                <w:rFonts w:ascii="Times New Roman" w:hAnsi="Times New Roman" w:cs="Times New Roman"/>
                <w:color w:val="000000" w:themeColor="text1"/>
              </w:rPr>
              <w:t>, 2020)</w:t>
            </w:r>
          </w:p>
        </w:tc>
        <w:tc>
          <w:tcPr>
            <w:tcW w:w="1912" w:type="dxa"/>
          </w:tcPr>
          <w:p w14:paraId="3905F7D7" w14:textId="3D116FC4" w:rsidR="00DB4BA1" w:rsidRPr="00843678" w:rsidRDefault="00DB4BA1" w:rsidP="001A4D16">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September 30</w:t>
            </w:r>
            <w:r w:rsidRPr="00843678">
              <w:rPr>
                <w:rFonts w:ascii="Times New Roman" w:hAnsi="Times New Roman" w:cs="Times New Roman"/>
                <w:color w:val="000000" w:themeColor="text1"/>
                <w:vertAlign w:val="superscript"/>
              </w:rPr>
              <w:t>th</w:t>
            </w:r>
          </w:p>
        </w:tc>
      </w:tr>
    </w:tbl>
    <w:p w14:paraId="7848DC0C" w14:textId="29702E93" w:rsidR="00A651C4" w:rsidRPr="00843678" w:rsidRDefault="00A651C4" w:rsidP="00FC775A">
      <w:pPr>
        <w:spacing w:after="0" w:line="0" w:lineRule="atLeast"/>
        <w:jc w:val="both"/>
        <w:rPr>
          <w:rFonts w:ascii="Times New Roman" w:hAnsi="Times New Roman" w:cs="Times New Roman"/>
          <w:b/>
          <w:bCs/>
          <w:color w:val="000000" w:themeColor="text1"/>
          <w:u w:val="single"/>
        </w:rPr>
      </w:pPr>
    </w:p>
    <w:p w14:paraId="6FCBFB57" w14:textId="09F5A182" w:rsidR="00DB4BA1" w:rsidRPr="00843678" w:rsidRDefault="00DB4BA1" w:rsidP="00DB4BA1">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The Declaration Form for Related Parties and Related Party Transactions (the so-called “Transfer Pricing Disclosure Form) submission deadline, for companies having revenue of 200 million Baht or more, has also been extended to August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w:t>
      </w:r>
    </w:p>
    <w:p w14:paraId="4851A2EF" w14:textId="77777777" w:rsidR="00DB4BA1" w:rsidRPr="00843678" w:rsidRDefault="00DB4BA1" w:rsidP="00FC775A">
      <w:pPr>
        <w:spacing w:after="0" w:line="0" w:lineRule="atLeast"/>
        <w:jc w:val="both"/>
        <w:rPr>
          <w:rFonts w:ascii="Times New Roman" w:hAnsi="Times New Roman" w:cs="Times New Roman"/>
          <w:color w:val="000000" w:themeColor="text1"/>
        </w:rPr>
      </w:pPr>
    </w:p>
    <w:p w14:paraId="1C926FAE" w14:textId="645FBFE5" w:rsidR="00487450" w:rsidRPr="00843678" w:rsidRDefault="00DB4BA1"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Submission of form </w:t>
      </w:r>
      <w:r w:rsidR="00487450" w:rsidRPr="00843678">
        <w:rPr>
          <w:rFonts w:ascii="Times New Roman" w:hAnsi="Times New Roman" w:cs="Times New Roman"/>
          <w:color w:val="000000" w:themeColor="text1"/>
        </w:rPr>
        <w:t>PND55</w:t>
      </w:r>
      <w:r w:rsidRPr="00843678">
        <w:rPr>
          <w:rFonts w:ascii="Times New Roman" w:hAnsi="Times New Roman" w:cs="Times New Roman"/>
          <w:color w:val="000000" w:themeColor="text1"/>
        </w:rPr>
        <w:t xml:space="preserve"> (for foundations and associations) has also been extended as per the above table.</w:t>
      </w:r>
    </w:p>
    <w:p w14:paraId="2846B7BF" w14:textId="77777777" w:rsidR="00487450" w:rsidRPr="00843678" w:rsidRDefault="00487450" w:rsidP="00FC775A">
      <w:pPr>
        <w:spacing w:after="0" w:line="0" w:lineRule="atLeast"/>
        <w:jc w:val="both"/>
        <w:rPr>
          <w:rFonts w:ascii="Times New Roman" w:hAnsi="Times New Roman" w:cs="Times New Roman"/>
          <w:color w:val="000000" w:themeColor="text1"/>
        </w:rPr>
      </w:pPr>
    </w:p>
    <w:p w14:paraId="4FB79046" w14:textId="34686F59" w:rsidR="00A651C4" w:rsidRPr="00843678" w:rsidRDefault="00A63B9A" w:rsidP="00FC775A">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564F08" w:rsidRPr="00843678">
        <w:rPr>
          <w:rFonts w:ascii="Times New Roman" w:hAnsi="Times New Roman" w:cs="Times New Roman"/>
          <w:color w:val="000000" w:themeColor="text1"/>
        </w:rPr>
        <w:t xml:space="preserve">Source: </w:t>
      </w:r>
      <w:r w:rsidR="00487450" w:rsidRPr="00843678">
        <w:rPr>
          <w:rFonts w:ascii="Times New Roman" w:hAnsi="Times New Roman" w:cs="Times New Roman"/>
          <w:color w:val="000000" w:themeColor="text1"/>
        </w:rPr>
        <w:t>Notification of the Ministry of Finance Re.: Extens</w:t>
      </w:r>
      <w:r w:rsidR="00DB4BA1" w:rsidRPr="00843678">
        <w:rPr>
          <w:rFonts w:ascii="Times New Roman" w:hAnsi="Times New Roman" w:cs="Times New Roman"/>
          <w:color w:val="000000" w:themeColor="text1"/>
        </w:rPr>
        <w:t>ion o</w:t>
      </w:r>
      <w:r w:rsidR="00487450" w:rsidRPr="00843678">
        <w:rPr>
          <w:rFonts w:ascii="Times New Roman" w:hAnsi="Times New Roman" w:cs="Times New Roman"/>
          <w:color w:val="000000" w:themeColor="text1"/>
        </w:rPr>
        <w:t xml:space="preserve">f period for submission of tax returns and payment of juristic person income tax under the Revenue Code (No 2) (Notified 3 March 2020), </w:t>
      </w:r>
      <w:hyperlink r:id="rId11" w:history="1">
        <w:r w:rsidR="00B66F9E" w:rsidRPr="00843678">
          <w:rPr>
            <w:rStyle w:val="Hyperlink"/>
            <w:rFonts w:ascii="Times New Roman" w:hAnsi="Times New Roman" w:cs="Times New Roman"/>
            <w:color w:val="000000" w:themeColor="text1"/>
            <w:u w:val="none"/>
          </w:rPr>
          <w:t>Por Chor 22/2563 (24 March 2020)</w:t>
        </w:r>
      </w:hyperlink>
    </w:p>
    <w:p w14:paraId="16556FA7" w14:textId="7369CABE" w:rsidR="00B66F9E" w:rsidRPr="00843678" w:rsidRDefault="00B66F9E" w:rsidP="00FC775A">
      <w:pPr>
        <w:spacing w:after="0" w:line="0" w:lineRule="atLeast"/>
        <w:jc w:val="both"/>
        <w:rPr>
          <w:rFonts w:ascii="Times New Roman" w:hAnsi="Times New Roman" w:cs="Times New Roman"/>
          <w:b/>
          <w:bCs/>
          <w:color w:val="000000" w:themeColor="text1"/>
          <w:u w:val="single"/>
        </w:rPr>
      </w:pPr>
    </w:p>
    <w:p w14:paraId="6811F9FC" w14:textId="77777777" w:rsidR="00DB4BA1" w:rsidRPr="00843678" w:rsidRDefault="00DB4BA1" w:rsidP="00FC775A">
      <w:pPr>
        <w:spacing w:after="0" w:line="0" w:lineRule="atLeast"/>
        <w:jc w:val="both"/>
        <w:rPr>
          <w:rFonts w:ascii="Times New Roman" w:hAnsi="Times New Roman" w:cs="Times New Roman"/>
          <w:b/>
          <w:bCs/>
          <w:color w:val="000000" w:themeColor="text1"/>
          <w:u w:val="single"/>
        </w:rPr>
      </w:pPr>
    </w:p>
    <w:p w14:paraId="080B366B" w14:textId="77777777" w:rsidR="00CC7377" w:rsidRPr="00843678" w:rsidRDefault="00CC7377"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A</w:t>
      </w:r>
      <w:r w:rsidR="00DB4BA1" w:rsidRPr="00843678">
        <w:rPr>
          <w:rFonts w:ascii="Times New Roman" w:hAnsi="Times New Roman" w:cs="Times New Roman"/>
          <w:b/>
          <w:bCs/>
          <w:color w:val="000000" w:themeColor="text1"/>
          <w:u w:val="single"/>
        </w:rPr>
        <w:t>nnual general meeting of shareholders, and</w:t>
      </w:r>
      <w:r w:rsidRPr="00843678">
        <w:rPr>
          <w:rFonts w:ascii="Times New Roman" w:hAnsi="Times New Roman" w:cs="Times New Roman"/>
          <w:b/>
          <w:bCs/>
          <w:color w:val="000000" w:themeColor="text1"/>
          <w:u w:val="single"/>
        </w:rPr>
        <w:t xml:space="preserve"> financial statement submission deadlines extended</w:t>
      </w:r>
    </w:p>
    <w:p w14:paraId="4E7B35BC" w14:textId="4DC8313C" w:rsidR="00CC7377" w:rsidRPr="00843678" w:rsidRDefault="00CC7377" w:rsidP="00D77CBE">
      <w:pPr>
        <w:pStyle w:val="ListParagraph"/>
        <w:spacing w:after="0" w:line="0" w:lineRule="atLeast"/>
        <w:ind w:left="0"/>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The time limit which annual general meeting of shareholders (AGM) must be held within, and the deadline to submit audited financial statements to the Department of Business Development </w:t>
      </w:r>
      <w:r w:rsidR="006D2FAE" w:rsidRPr="00843678">
        <w:rPr>
          <w:rFonts w:ascii="Times New Roman" w:hAnsi="Times New Roman" w:cs="Times New Roman"/>
          <w:color w:val="000000" w:themeColor="text1"/>
        </w:rPr>
        <w:t xml:space="preserve">(DBD) </w:t>
      </w:r>
      <w:r w:rsidRPr="00843678">
        <w:rPr>
          <w:rFonts w:ascii="Times New Roman" w:hAnsi="Times New Roman" w:cs="Times New Roman"/>
          <w:color w:val="000000" w:themeColor="text1"/>
        </w:rPr>
        <w:t>(Ministry of Commerce) has been extended as follows.</w:t>
      </w:r>
    </w:p>
    <w:p w14:paraId="5DC08248" w14:textId="327BB27D" w:rsidR="00DB4BA1" w:rsidRPr="00843678" w:rsidRDefault="00DB4BA1" w:rsidP="00CC7377">
      <w:pPr>
        <w:pStyle w:val="ListParagraph"/>
        <w:spacing w:after="0" w:line="0" w:lineRule="atLeast"/>
        <w:ind w:left="360"/>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1525"/>
        <w:gridCol w:w="1080"/>
        <w:gridCol w:w="2297"/>
        <w:gridCol w:w="2203"/>
        <w:gridCol w:w="1911"/>
      </w:tblGrid>
      <w:tr w:rsidR="006D2FAE" w:rsidRPr="00843678" w14:paraId="11AE0AC5" w14:textId="77777777" w:rsidTr="00C35212">
        <w:tc>
          <w:tcPr>
            <w:tcW w:w="1525" w:type="dxa"/>
          </w:tcPr>
          <w:p w14:paraId="7D57B842" w14:textId="77777777" w:rsidR="00A92793" w:rsidRPr="00843678" w:rsidRDefault="00A92793" w:rsidP="008B07B7">
            <w:pPr>
              <w:spacing w:line="0" w:lineRule="atLeast"/>
              <w:rPr>
                <w:rFonts w:ascii="Times New Roman" w:hAnsi="Times New Roman" w:cs="Times New Roman"/>
                <w:color w:val="000000" w:themeColor="text1"/>
              </w:rPr>
            </w:pPr>
          </w:p>
        </w:tc>
        <w:tc>
          <w:tcPr>
            <w:tcW w:w="1080" w:type="dxa"/>
          </w:tcPr>
          <w:p w14:paraId="2944C8F5" w14:textId="77777777" w:rsidR="00A92793" w:rsidRPr="00843678" w:rsidRDefault="00A92793" w:rsidP="008B07B7">
            <w:pPr>
              <w:spacing w:line="0" w:lineRule="atLeast"/>
              <w:rPr>
                <w:rFonts w:ascii="Times New Roman" w:hAnsi="Times New Roman" w:cs="Times New Roman"/>
                <w:color w:val="000000" w:themeColor="text1"/>
              </w:rPr>
            </w:pPr>
          </w:p>
        </w:tc>
        <w:tc>
          <w:tcPr>
            <w:tcW w:w="2297" w:type="dxa"/>
          </w:tcPr>
          <w:p w14:paraId="4EDE1C5F" w14:textId="33EE79B1" w:rsidR="00A92793" w:rsidRPr="00843678" w:rsidRDefault="00CC7377" w:rsidP="003B60EE">
            <w:pPr>
              <w:pStyle w:val="Heading1"/>
              <w:outlineLvl w:val="0"/>
              <w:rPr>
                <w:b w:val="0"/>
                <w:bCs w:val="0"/>
              </w:rPr>
            </w:pPr>
            <w:r w:rsidRPr="00843678">
              <w:rPr>
                <w:b w:val="0"/>
                <w:bCs w:val="0"/>
              </w:rPr>
              <w:t>AGMs</w:t>
            </w:r>
          </w:p>
        </w:tc>
        <w:tc>
          <w:tcPr>
            <w:tcW w:w="2203" w:type="dxa"/>
          </w:tcPr>
          <w:p w14:paraId="39F33949" w14:textId="49D9EEE1"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Audited Financial Statements</w:t>
            </w:r>
            <w:r w:rsidR="006D2FAE" w:rsidRPr="00843678">
              <w:rPr>
                <w:rFonts w:ascii="Times New Roman" w:hAnsi="Times New Roman" w:cs="Times New Roman"/>
                <w:color w:val="000000" w:themeColor="text1"/>
              </w:rPr>
              <w:t xml:space="preserve"> (FS)</w:t>
            </w:r>
          </w:p>
        </w:tc>
        <w:tc>
          <w:tcPr>
            <w:tcW w:w="1911" w:type="dxa"/>
          </w:tcPr>
          <w:p w14:paraId="6E711CEC" w14:textId="77777777"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Shareholder List</w:t>
            </w:r>
          </w:p>
          <w:p w14:paraId="42E97804" w14:textId="76191F19" w:rsidR="006D2FAE" w:rsidRPr="00843678" w:rsidRDefault="006D2FA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(SH List)</w:t>
            </w:r>
          </w:p>
        </w:tc>
      </w:tr>
      <w:tr w:rsidR="006D2FAE" w:rsidRPr="00843678" w14:paraId="5691192C" w14:textId="77777777" w:rsidTr="00C35212">
        <w:trPr>
          <w:trHeight w:val="1466"/>
        </w:trPr>
        <w:tc>
          <w:tcPr>
            <w:tcW w:w="1525" w:type="dxa"/>
            <w:vMerge w:val="restart"/>
          </w:tcPr>
          <w:p w14:paraId="15D9E487" w14:textId="12D3972A" w:rsidR="00A92793" w:rsidRPr="00843678" w:rsidRDefault="00A92793"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Private Limited Companies</w:t>
            </w:r>
          </w:p>
        </w:tc>
        <w:tc>
          <w:tcPr>
            <w:tcW w:w="1080" w:type="dxa"/>
            <w:tcBorders>
              <w:bottom w:val="dotted" w:sz="4" w:space="0" w:color="auto"/>
            </w:tcBorders>
          </w:tcPr>
          <w:p w14:paraId="6320DAA5" w14:textId="77777777" w:rsidR="00A92793" w:rsidRPr="00843678" w:rsidRDefault="00A92793" w:rsidP="008B07B7">
            <w:pPr>
              <w:spacing w:line="0" w:lineRule="atLeast"/>
              <w:jc w:val="center"/>
              <w:rPr>
                <w:rFonts w:ascii="Times New Roman" w:hAnsi="Times New Roman" w:cs="Times New Roman"/>
                <w:color w:val="000000" w:themeColor="text1"/>
              </w:rPr>
            </w:pPr>
          </w:p>
          <w:p w14:paraId="7E70D058" w14:textId="27D7AE9D" w:rsidR="00A92793" w:rsidRPr="00843678" w:rsidRDefault="00CC7377"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General Rule</w:t>
            </w:r>
          </w:p>
        </w:tc>
        <w:tc>
          <w:tcPr>
            <w:tcW w:w="2297" w:type="dxa"/>
            <w:tcBorders>
              <w:bottom w:val="dotted" w:sz="4" w:space="0" w:color="auto"/>
            </w:tcBorders>
          </w:tcPr>
          <w:p w14:paraId="48F5A918" w14:textId="7367FC23" w:rsidR="00CC7377" w:rsidRPr="00843678" w:rsidRDefault="00CC7377" w:rsidP="008B07B7">
            <w:pPr>
              <w:pStyle w:val="ListParagraph"/>
              <w:numPr>
                <w:ilvl w:val="0"/>
                <w:numId w:val="8"/>
              </w:numPr>
              <w:spacing w:line="0" w:lineRule="atLeast"/>
              <w:ind w:left="326"/>
              <w:rPr>
                <w:rFonts w:ascii="Times New Roman" w:hAnsi="Times New Roman" w:cs="Times New Roman"/>
                <w:color w:val="000000" w:themeColor="text1"/>
              </w:rPr>
            </w:pPr>
            <w:r w:rsidRPr="00843678">
              <w:rPr>
                <w:rFonts w:ascii="Times New Roman" w:hAnsi="Times New Roman" w:cs="Times New Roman"/>
                <w:color w:val="000000" w:themeColor="text1"/>
              </w:rPr>
              <w:t>A general meeting of shareholders shall be held within six months after the registration of the company and</w:t>
            </w:r>
            <w:r w:rsidR="006D2FAE"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 xml:space="preserve">shall subsequently be held once at least in every twelve months. (CCC*, </w:t>
            </w:r>
            <w:r w:rsidRPr="00843678">
              <w:rPr>
                <w:rFonts w:ascii="Times New Roman" w:hAnsi="Times New Roman" w:cs="Times New Roman"/>
                <w:color w:val="222222"/>
                <w:shd w:val="clear" w:color="auto" w:fill="FFFFFF"/>
              </w:rPr>
              <w:t>§</w:t>
            </w:r>
            <w:r w:rsidRPr="00843678">
              <w:rPr>
                <w:rFonts w:ascii="Times New Roman" w:hAnsi="Times New Roman" w:cs="Times New Roman"/>
                <w:color w:val="000000" w:themeColor="text1"/>
              </w:rPr>
              <w:t>1171)</w:t>
            </w:r>
          </w:p>
        </w:tc>
        <w:tc>
          <w:tcPr>
            <w:tcW w:w="2203" w:type="dxa"/>
            <w:tcBorders>
              <w:bottom w:val="dotted" w:sz="4" w:space="0" w:color="auto"/>
            </w:tcBorders>
          </w:tcPr>
          <w:p w14:paraId="4B41D822" w14:textId="37A8FD79" w:rsidR="006D2FAE" w:rsidRPr="00843678" w:rsidRDefault="006D2FAE" w:rsidP="008B07B7">
            <w:pPr>
              <w:pStyle w:val="ListParagraph"/>
              <w:numPr>
                <w:ilvl w:val="0"/>
                <w:numId w:val="7"/>
              </w:numPr>
              <w:spacing w:line="0" w:lineRule="atLeast"/>
              <w:ind w:left="332"/>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AGM within 4 months after the financial year-end. (CCC, </w:t>
            </w:r>
            <w:r w:rsidRPr="00843678">
              <w:rPr>
                <w:rFonts w:ascii="Times New Roman" w:hAnsi="Times New Roman" w:cs="Times New Roman"/>
                <w:color w:val="222222"/>
                <w:shd w:val="clear" w:color="auto" w:fill="FFFFFF"/>
              </w:rPr>
              <w:t>§1197)</w:t>
            </w:r>
          </w:p>
          <w:p w14:paraId="1DC864F8" w14:textId="12DC996B" w:rsidR="006D2FAE" w:rsidRPr="00843678" w:rsidRDefault="006D2FAE" w:rsidP="006D2FAE">
            <w:pPr>
              <w:pStyle w:val="ListParagraph"/>
              <w:numPr>
                <w:ilvl w:val="0"/>
                <w:numId w:val="7"/>
              </w:numPr>
              <w:spacing w:line="0" w:lineRule="atLeast"/>
              <w:ind w:left="332"/>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DBD** within ratification at the AGM (CCC, </w:t>
            </w:r>
            <w:r w:rsidRPr="00843678">
              <w:rPr>
                <w:rFonts w:ascii="Times New Roman" w:hAnsi="Times New Roman" w:cs="Times New Roman"/>
                <w:color w:val="222222"/>
                <w:shd w:val="clear" w:color="auto" w:fill="FFFFFF"/>
              </w:rPr>
              <w:t>§1199)</w:t>
            </w:r>
          </w:p>
        </w:tc>
        <w:tc>
          <w:tcPr>
            <w:tcW w:w="1911" w:type="dxa"/>
            <w:tcBorders>
              <w:bottom w:val="dotted" w:sz="4" w:space="0" w:color="auto"/>
            </w:tcBorders>
          </w:tcPr>
          <w:p w14:paraId="2BD647E6" w14:textId="168C15DE" w:rsidR="006D2FAE" w:rsidRPr="00843678" w:rsidRDefault="006D2FAE" w:rsidP="008B07B7">
            <w:pPr>
              <w:pStyle w:val="ListParagraph"/>
              <w:numPr>
                <w:ilvl w:val="0"/>
                <w:numId w:val="7"/>
              </w:numPr>
              <w:spacing w:line="0" w:lineRule="atLeast"/>
              <w:ind w:left="319"/>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an updated SH List to the DBD within 14 days after the AGM. (CCC, </w:t>
            </w:r>
            <w:r w:rsidRPr="00843678">
              <w:rPr>
                <w:rFonts w:ascii="Times New Roman" w:hAnsi="Times New Roman" w:cs="Times New Roman"/>
                <w:color w:val="222222"/>
                <w:shd w:val="clear" w:color="auto" w:fill="FFFFFF"/>
              </w:rPr>
              <w:t>§1139)</w:t>
            </w:r>
            <w:r w:rsidRPr="00843678">
              <w:rPr>
                <w:rFonts w:ascii="Times New Roman" w:hAnsi="Times New Roman" w:cs="Times New Roman"/>
                <w:color w:val="000000" w:themeColor="text1"/>
              </w:rPr>
              <w:t xml:space="preserve"> </w:t>
            </w:r>
          </w:p>
        </w:tc>
      </w:tr>
      <w:tr w:rsidR="006D2FAE" w:rsidRPr="00843678" w14:paraId="51C53EA3" w14:textId="77777777" w:rsidTr="00C35212">
        <w:trPr>
          <w:trHeight w:val="1608"/>
        </w:trPr>
        <w:tc>
          <w:tcPr>
            <w:tcW w:w="1525" w:type="dxa"/>
            <w:vMerge/>
          </w:tcPr>
          <w:p w14:paraId="177F85ED" w14:textId="77777777" w:rsidR="00A92793" w:rsidRPr="00843678" w:rsidRDefault="00A92793" w:rsidP="008B07B7">
            <w:pPr>
              <w:spacing w:line="0" w:lineRule="atLeast"/>
              <w:rPr>
                <w:rFonts w:ascii="Times New Roman" w:hAnsi="Times New Roman" w:cs="Times New Roman"/>
                <w:color w:val="000000" w:themeColor="text1"/>
              </w:rPr>
            </w:pPr>
          </w:p>
        </w:tc>
        <w:tc>
          <w:tcPr>
            <w:tcW w:w="1080" w:type="dxa"/>
            <w:tcBorders>
              <w:top w:val="dotted" w:sz="4" w:space="0" w:color="auto"/>
            </w:tcBorders>
          </w:tcPr>
          <w:p w14:paraId="12419FE1" w14:textId="3C9CAAFE" w:rsidR="00A92793" w:rsidRPr="00843678" w:rsidRDefault="00CC7377"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Special  Measures</w:t>
            </w:r>
          </w:p>
        </w:tc>
        <w:tc>
          <w:tcPr>
            <w:tcW w:w="2297" w:type="dxa"/>
            <w:tcBorders>
              <w:top w:val="dotted" w:sz="4" w:space="0" w:color="auto"/>
            </w:tcBorders>
          </w:tcPr>
          <w:p w14:paraId="7A9F38DA" w14:textId="670CE58E" w:rsidR="003B60EE"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Extensions due to the effect of COVID19 is permissible until it is possible to hold one.</w:t>
            </w:r>
          </w:p>
        </w:tc>
        <w:tc>
          <w:tcPr>
            <w:tcW w:w="2203" w:type="dxa"/>
            <w:tcBorders>
              <w:top w:val="dotted" w:sz="4" w:space="0" w:color="auto"/>
            </w:tcBorders>
          </w:tcPr>
          <w:p w14:paraId="11B20B32" w14:textId="3D9E3544"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FS to the DBD within 1 month of the AGM date. </w:t>
            </w:r>
          </w:p>
          <w:p w14:paraId="5B062D88" w14:textId="5AA6DA83"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An explanation letter</w:t>
            </w:r>
            <w:r w:rsidR="00C35212"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explain</w:t>
            </w:r>
            <w:r w:rsidR="00C35212" w:rsidRPr="00843678">
              <w:rPr>
                <w:rFonts w:ascii="Times New Roman" w:hAnsi="Times New Roman" w:cs="Times New Roman"/>
                <w:color w:val="000000" w:themeColor="text1"/>
              </w:rPr>
              <w:t>ing</w:t>
            </w:r>
            <w:r w:rsidRPr="00843678">
              <w:rPr>
                <w:rFonts w:ascii="Times New Roman" w:hAnsi="Times New Roman" w:cs="Times New Roman"/>
                <w:color w:val="000000" w:themeColor="text1"/>
              </w:rPr>
              <w:t xml:space="preserve"> the reason for the delay must also be submitted.</w:t>
            </w:r>
          </w:p>
        </w:tc>
        <w:tc>
          <w:tcPr>
            <w:tcW w:w="1911" w:type="dxa"/>
            <w:tcBorders>
              <w:top w:val="dotted" w:sz="4" w:space="0" w:color="auto"/>
            </w:tcBorders>
          </w:tcPr>
          <w:p w14:paraId="3AB58291" w14:textId="62B31A16" w:rsidR="006D2FAE" w:rsidRPr="00843678" w:rsidRDefault="006D2FAE"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 xml:space="preserve">Must submit to the DBD within 14 days after the </w:t>
            </w:r>
            <w:r w:rsidR="00C35212" w:rsidRPr="00843678">
              <w:rPr>
                <w:rFonts w:ascii="Times New Roman" w:hAnsi="Times New Roman" w:cs="Times New Roman"/>
                <w:color w:val="000000" w:themeColor="text1"/>
              </w:rPr>
              <w:t>AGM.</w:t>
            </w:r>
          </w:p>
          <w:p w14:paraId="7F78A0FE" w14:textId="38856D0F" w:rsidR="00A92793" w:rsidRPr="00843678" w:rsidRDefault="00C35212" w:rsidP="008B07B7">
            <w:pPr>
              <w:pStyle w:val="ListParagraph"/>
              <w:numPr>
                <w:ilvl w:val="0"/>
                <w:numId w:val="7"/>
              </w:numPr>
              <w:spacing w:line="0" w:lineRule="atLeast"/>
              <w:ind w:left="313" w:hanging="313"/>
              <w:rPr>
                <w:rFonts w:ascii="Times New Roman" w:hAnsi="Times New Roman" w:cs="Times New Roman"/>
                <w:color w:val="000000" w:themeColor="text1"/>
              </w:rPr>
            </w:pPr>
            <w:r w:rsidRPr="00843678">
              <w:rPr>
                <w:rFonts w:ascii="Times New Roman" w:hAnsi="Times New Roman" w:cs="Times New Roman"/>
                <w:color w:val="000000" w:themeColor="text1"/>
              </w:rPr>
              <w:t>An explanation letter explaining the reason for the delay must also be submitted.</w:t>
            </w:r>
          </w:p>
        </w:tc>
      </w:tr>
      <w:tr w:rsidR="006D2FAE" w:rsidRPr="00843678" w14:paraId="252BC15B" w14:textId="77777777" w:rsidTr="00C35212">
        <w:trPr>
          <w:trHeight w:val="2663"/>
        </w:trPr>
        <w:tc>
          <w:tcPr>
            <w:tcW w:w="1525" w:type="dxa"/>
          </w:tcPr>
          <w:p w14:paraId="1700D18D" w14:textId="7C43AFFD" w:rsidR="00A92793"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lastRenderedPageBreak/>
              <w:t>Partnerships, Joint Ventures, and Juristic Persons registered under foreign law (E.g. Rep. offices, and Branches)</w:t>
            </w:r>
          </w:p>
        </w:tc>
        <w:tc>
          <w:tcPr>
            <w:tcW w:w="1080" w:type="dxa"/>
          </w:tcPr>
          <w:p w14:paraId="1573DC00" w14:textId="230695CB" w:rsidR="00A92793" w:rsidRPr="00843678" w:rsidRDefault="003B60E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Special Measures</w:t>
            </w:r>
          </w:p>
        </w:tc>
        <w:tc>
          <w:tcPr>
            <w:tcW w:w="2297" w:type="dxa"/>
          </w:tcPr>
          <w:p w14:paraId="18CBB44F" w14:textId="77777777" w:rsidR="00A92793" w:rsidRPr="00843678" w:rsidRDefault="00A92793" w:rsidP="008B07B7">
            <w:pPr>
              <w:spacing w:line="0" w:lineRule="atLeast"/>
              <w:rPr>
                <w:rFonts w:ascii="Times New Roman" w:hAnsi="Times New Roman" w:cs="Times New Roman"/>
                <w:color w:val="000000" w:themeColor="text1"/>
              </w:rPr>
            </w:pPr>
          </w:p>
        </w:tc>
        <w:tc>
          <w:tcPr>
            <w:tcW w:w="2203" w:type="dxa"/>
          </w:tcPr>
          <w:p w14:paraId="169CE3FA" w14:textId="77777777" w:rsidR="00C35212" w:rsidRPr="00843678" w:rsidRDefault="00C35212"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Must submit to the DBD within August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p w14:paraId="59D0F90A" w14:textId="2BE1DD9D" w:rsidR="00C35212" w:rsidRPr="00843678" w:rsidRDefault="00C35212"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the financial year-end is on or between October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2019 through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w:t>
            </w:r>
          </w:p>
        </w:tc>
        <w:tc>
          <w:tcPr>
            <w:tcW w:w="1911" w:type="dxa"/>
          </w:tcPr>
          <w:p w14:paraId="40EED344" w14:textId="77777777" w:rsidR="00A92793" w:rsidRPr="00843678" w:rsidRDefault="00A92793" w:rsidP="008B07B7">
            <w:pPr>
              <w:spacing w:line="0" w:lineRule="atLeast"/>
              <w:rPr>
                <w:rFonts w:ascii="Times New Roman" w:hAnsi="Times New Roman" w:cs="Times New Roman"/>
                <w:color w:val="000000" w:themeColor="text1"/>
              </w:rPr>
            </w:pPr>
          </w:p>
        </w:tc>
      </w:tr>
      <w:tr w:rsidR="00A92793" w:rsidRPr="00843678" w14:paraId="58F4D8F0" w14:textId="77777777" w:rsidTr="00C35212">
        <w:trPr>
          <w:trHeight w:val="359"/>
        </w:trPr>
        <w:tc>
          <w:tcPr>
            <w:tcW w:w="9016" w:type="dxa"/>
            <w:gridSpan w:val="5"/>
          </w:tcPr>
          <w:p w14:paraId="30C8EF75" w14:textId="43CD196F" w:rsidR="00A92793" w:rsidRPr="00843678" w:rsidRDefault="00A92793"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*CCC</w:t>
            </w:r>
            <w:r w:rsidR="00CC7377" w:rsidRPr="00843678">
              <w:rPr>
                <w:rFonts w:ascii="Times New Roman" w:hAnsi="Times New Roman" w:cs="Times New Roman"/>
                <w:color w:val="000000" w:themeColor="text1"/>
              </w:rPr>
              <w:t xml:space="preserve"> </w:t>
            </w:r>
            <w:r w:rsidR="006D2FAE" w:rsidRPr="00843678">
              <w:rPr>
                <w:rFonts w:ascii="Times New Roman" w:hAnsi="Times New Roman" w:cs="Times New Roman"/>
                <w:color w:val="000000" w:themeColor="text1"/>
              </w:rPr>
              <w:t xml:space="preserve">= </w:t>
            </w:r>
            <w:r w:rsidRPr="00843678">
              <w:rPr>
                <w:rFonts w:ascii="Times New Roman" w:hAnsi="Times New Roman" w:cs="Times New Roman"/>
                <w:color w:val="000000" w:themeColor="text1"/>
              </w:rPr>
              <w:t>Civil and Commercial Code</w:t>
            </w:r>
            <w:r w:rsidR="00CC7377" w:rsidRPr="00843678">
              <w:rPr>
                <w:rFonts w:ascii="Times New Roman" w:hAnsi="Times New Roman" w:cs="Times New Roman"/>
                <w:color w:val="000000" w:themeColor="text1"/>
              </w:rPr>
              <w:t xml:space="preserve"> of Thailand.</w:t>
            </w:r>
          </w:p>
          <w:p w14:paraId="1AA577E2" w14:textId="26316F6D" w:rsidR="006D2FAE" w:rsidRPr="00843678" w:rsidRDefault="006D2FAE" w:rsidP="008B07B7">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DBD = Department of Business Development, Ministry of Commerce</w:t>
            </w:r>
          </w:p>
        </w:tc>
      </w:tr>
    </w:tbl>
    <w:p w14:paraId="44336619" w14:textId="77777777" w:rsidR="00A92793" w:rsidRPr="00843678" w:rsidRDefault="00A92793" w:rsidP="00A92793">
      <w:pPr>
        <w:spacing w:after="0" w:line="0" w:lineRule="atLeast"/>
        <w:rPr>
          <w:rFonts w:ascii="Times New Roman" w:hAnsi="Times New Roman" w:cs="Times New Roman"/>
          <w:b/>
          <w:bCs/>
          <w:color w:val="000000" w:themeColor="text1"/>
          <w:u w:val="single"/>
        </w:rPr>
      </w:pPr>
    </w:p>
    <w:p w14:paraId="77B69EF6" w14:textId="0DDF28D3" w:rsidR="001A4D16" w:rsidRPr="00843678" w:rsidRDefault="001A4D16" w:rsidP="001A4D16">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Juristic persons registered under foreign law (E.g. Representative offices, branches, etc.):  Prior to the above-mentioned extension measures, foreign juristic persons were required to submit their audited FS to the DBD within 5 months after the financial year-end date. With the new extension measures, the deadline has been extended to August 31, 2020 for financial year-ends falling from October 31, 2019 to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 Therefore, the extension is not of any particular benefit if the financial year-end falls on March 31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2020. However, if it ends before such date, the deadline would have extended.</w:t>
      </w:r>
    </w:p>
    <w:p w14:paraId="00DBDD14" w14:textId="5ACF81F0" w:rsidR="00CA49D9" w:rsidRPr="00843678" w:rsidRDefault="00A92793" w:rsidP="00A92793">
      <w:pPr>
        <w:spacing w:after="0" w:line="0" w:lineRule="atLeast"/>
        <w:jc w:val="both"/>
        <w:rPr>
          <w:rFonts w:ascii="Times New Roman" w:hAnsi="Times New Roman" w:cs="Times New Roman"/>
          <w:b/>
          <w:bCs/>
          <w:color w:val="000000" w:themeColor="text1"/>
          <w:u w:val="single"/>
        </w:rPr>
      </w:pPr>
      <w:r w:rsidRPr="00843678">
        <w:rPr>
          <w:rFonts w:ascii="Times New Roman" w:hAnsi="Times New Roman" w:cs="Times New Roman"/>
          <w:color w:val="000000" w:themeColor="text1"/>
        </w:rPr>
        <w:t>(Source:</w:t>
      </w:r>
      <w:r w:rsidR="001A4D16" w:rsidRPr="00843678">
        <w:rPr>
          <w:rFonts w:ascii="Times New Roman" w:hAnsi="Times New Roman" w:cs="Times New Roman"/>
          <w:color w:val="000000" w:themeColor="text1"/>
        </w:rPr>
        <w:t xml:space="preserve"> DBD, </w:t>
      </w:r>
      <w:hyperlink r:id="rId12" w:history="1">
        <w:r w:rsidRPr="00843678">
          <w:rPr>
            <w:rStyle w:val="Hyperlink"/>
            <w:rFonts w:ascii="Times New Roman" w:hAnsi="Times New Roman" w:cs="Times New Roman"/>
            <w:color w:val="000000" w:themeColor="text1"/>
          </w:rPr>
          <w:t>https://www.dbd.go.th/news_view.php?nid=469417241</w:t>
        </w:r>
      </w:hyperlink>
      <w:r w:rsidRPr="00843678">
        <w:rPr>
          <w:rFonts w:ascii="Times New Roman" w:hAnsi="Times New Roman" w:cs="Times New Roman"/>
          <w:color w:val="000000" w:themeColor="text1"/>
        </w:rPr>
        <w:t>)</w:t>
      </w:r>
    </w:p>
    <w:p w14:paraId="37CF5702" w14:textId="68FDD2C1" w:rsidR="001A4D16" w:rsidRDefault="001A4D16" w:rsidP="00FC775A">
      <w:pPr>
        <w:spacing w:after="0" w:line="0" w:lineRule="atLeast"/>
        <w:jc w:val="both"/>
        <w:rPr>
          <w:rFonts w:ascii="Times New Roman" w:hAnsi="Times New Roman" w:cs="Times New Roman"/>
          <w:b/>
          <w:bCs/>
          <w:color w:val="000000" w:themeColor="text1"/>
          <w:u w:val="single"/>
        </w:rPr>
      </w:pPr>
    </w:p>
    <w:p w14:paraId="6C8B12DF" w14:textId="77777777" w:rsidR="00D77CBE" w:rsidRPr="00843678" w:rsidRDefault="00D77CBE" w:rsidP="00FC775A">
      <w:pPr>
        <w:spacing w:after="0" w:line="0" w:lineRule="atLeast"/>
        <w:jc w:val="both"/>
        <w:rPr>
          <w:rFonts w:ascii="Times New Roman" w:hAnsi="Times New Roman" w:cs="Times New Roman"/>
          <w:b/>
          <w:bCs/>
          <w:color w:val="000000" w:themeColor="text1"/>
          <w:u w:val="single"/>
        </w:rPr>
      </w:pPr>
    </w:p>
    <w:p w14:paraId="4A951413" w14:textId="6700055F" w:rsidR="00CA49D9" w:rsidRPr="00843678" w:rsidRDefault="008F64FA" w:rsidP="00FC775A">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Personal Income Tax – Filing deadline extension</w:t>
      </w:r>
    </w:p>
    <w:p w14:paraId="10CA5965" w14:textId="7681CEAE" w:rsidR="008F64FA" w:rsidRPr="00843678" w:rsidRDefault="008F64FA"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Generally individual taxpayers are required to submit and pay personal income tax (PIT) </w:t>
      </w:r>
      <w:r w:rsidR="002473EE" w:rsidRPr="00843678">
        <w:rPr>
          <w:rFonts w:ascii="Times New Roman" w:hAnsi="Times New Roman" w:cs="Times New Roman"/>
          <w:color w:val="000000" w:themeColor="text1"/>
        </w:rPr>
        <w:t xml:space="preserve">for a calendar year, </w:t>
      </w:r>
      <w:r w:rsidRPr="00843678">
        <w:rPr>
          <w:rFonts w:ascii="Times New Roman" w:hAnsi="Times New Roman" w:cs="Times New Roman"/>
          <w:color w:val="000000" w:themeColor="text1"/>
        </w:rPr>
        <w:t>within March 31</w:t>
      </w:r>
      <w:r w:rsidR="002473EE" w:rsidRPr="00843678">
        <w:rPr>
          <w:rFonts w:ascii="Times New Roman" w:hAnsi="Times New Roman" w:cs="Times New Roman"/>
          <w:color w:val="000000" w:themeColor="text1"/>
        </w:rPr>
        <w:t xml:space="preserve"> after that calendar year-end date. However, due to COVID-19, such deadline has been extended to August 31</w:t>
      </w:r>
      <w:r w:rsidR="002473EE" w:rsidRPr="00843678">
        <w:rPr>
          <w:rFonts w:ascii="Times New Roman" w:hAnsi="Times New Roman" w:cs="Times New Roman"/>
          <w:color w:val="000000" w:themeColor="text1"/>
          <w:vertAlign w:val="superscript"/>
        </w:rPr>
        <w:t>st</w:t>
      </w:r>
      <w:r w:rsidR="002473EE" w:rsidRPr="00843678">
        <w:rPr>
          <w:rFonts w:ascii="Times New Roman" w:hAnsi="Times New Roman" w:cs="Times New Roman"/>
          <w:color w:val="000000" w:themeColor="text1"/>
        </w:rPr>
        <w:t xml:space="preserve">, 2020 for the calendar year of 2019. </w:t>
      </w:r>
    </w:p>
    <w:p w14:paraId="0EFE2FA7" w14:textId="4876E51F" w:rsidR="00E71B47" w:rsidRPr="00843678" w:rsidRDefault="00E71B47" w:rsidP="00FC775A">
      <w:pPr>
        <w:spacing w:after="0" w:line="0" w:lineRule="atLeast"/>
        <w:jc w:val="both"/>
        <w:rPr>
          <w:rFonts w:ascii="Times New Roman" w:hAnsi="Times New Roman" w:cs="Times New Roman"/>
          <w:b/>
          <w:bCs/>
          <w:color w:val="000000" w:themeColor="text1"/>
        </w:rPr>
      </w:pPr>
    </w:p>
    <w:tbl>
      <w:tblPr>
        <w:tblStyle w:val="TableGrid"/>
        <w:tblW w:w="8995" w:type="dxa"/>
        <w:tblLook w:val="04A0" w:firstRow="1" w:lastRow="0" w:firstColumn="1" w:lastColumn="0" w:noHBand="0" w:noVBand="1"/>
      </w:tblPr>
      <w:tblGrid>
        <w:gridCol w:w="1375"/>
        <w:gridCol w:w="1491"/>
        <w:gridCol w:w="3064"/>
        <w:gridCol w:w="3065"/>
      </w:tblGrid>
      <w:tr w:rsidR="00E71B47" w:rsidRPr="00843678" w14:paraId="40CDD361" w14:textId="485C6682" w:rsidTr="00487450">
        <w:trPr>
          <w:trHeight w:val="326"/>
        </w:trPr>
        <w:tc>
          <w:tcPr>
            <w:tcW w:w="1375" w:type="dxa"/>
            <w:vAlign w:val="center"/>
          </w:tcPr>
          <w:p w14:paraId="08F9CDC9" w14:textId="4D493A20"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Form</w:t>
            </w:r>
          </w:p>
        </w:tc>
        <w:tc>
          <w:tcPr>
            <w:tcW w:w="1491" w:type="dxa"/>
            <w:tcBorders>
              <w:right w:val="single" w:sz="4" w:space="0" w:color="auto"/>
            </w:tcBorders>
            <w:vAlign w:val="center"/>
          </w:tcPr>
          <w:p w14:paraId="72584EA4" w14:textId="053F8D4B"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Subject Tax Year</w:t>
            </w:r>
          </w:p>
        </w:tc>
        <w:tc>
          <w:tcPr>
            <w:tcW w:w="3064" w:type="dxa"/>
            <w:tcBorders>
              <w:right w:val="single" w:sz="4" w:space="0" w:color="auto"/>
            </w:tcBorders>
            <w:vAlign w:val="center"/>
          </w:tcPr>
          <w:p w14:paraId="67030903" w14:textId="451BCE11"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Original Deadline</w:t>
            </w:r>
          </w:p>
        </w:tc>
        <w:tc>
          <w:tcPr>
            <w:tcW w:w="3065" w:type="dxa"/>
            <w:tcBorders>
              <w:left w:val="single" w:sz="4" w:space="0" w:color="auto"/>
            </w:tcBorders>
            <w:vAlign w:val="center"/>
          </w:tcPr>
          <w:p w14:paraId="1BD556EE" w14:textId="3C25A520" w:rsidR="00E71B47" w:rsidRPr="00843678" w:rsidRDefault="002473EE" w:rsidP="00E71B4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Special Extended Deadline</w:t>
            </w:r>
          </w:p>
        </w:tc>
      </w:tr>
      <w:tr w:rsidR="00E71B47" w:rsidRPr="00843678" w14:paraId="2E8D5FE1" w14:textId="2C80D0FA" w:rsidTr="00277FC2">
        <w:trPr>
          <w:trHeight w:val="503"/>
        </w:trPr>
        <w:tc>
          <w:tcPr>
            <w:tcW w:w="1375" w:type="dxa"/>
            <w:vAlign w:val="center"/>
          </w:tcPr>
          <w:p w14:paraId="3332F5FF" w14:textId="72964D52" w:rsidR="00E71B47" w:rsidRPr="00843678" w:rsidRDefault="00E71B47"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 90</w:t>
            </w:r>
          </w:p>
        </w:tc>
        <w:tc>
          <w:tcPr>
            <w:tcW w:w="1491" w:type="dxa"/>
            <w:vMerge w:val="restart"/>
            <w:tcBorders>
              <w:right w:val="single" w:sz="4" w:space="0" w:color="auto"/>
            </w:tcBorders>
            <w:vAlign w:val="center"/>
          </w:tcPr>
          <w:p w14:paraId="45141599" w14:textId="1A5CA2B1"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Calendar year 2019</w:t>
            </w:r>
          </w:p>
        </w:tc>
        <w:tc>
          <w:tcPr>
            <w:tcW w:w="3064" w:type="dxa"/>
            <w:vMerge w:val="restart"/>
            <w:tcBorders>
              <w:right w:val="single" w:sz="4" w:space="0" w:color="auto"/>
            </w:tcBorders>
            <w:vAlign w:val="center"/>
          </w:tcPr>
          <w:p w14:paraId="025A3C8D" w14:textId="72D1E2F6"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March 31, 2020</w:t>
            </w:r>
          </w:p>
        </w:tc>
        <w:tc>
          <w:tcPr>
            <w:tcW w:w="3065" w:type="dxa"/>
            <w:vMerge w:val="restart"/>
            <w:tcBorders>
              <w:left w:val="single" w:sz="4" w:space="0" w:color="auto"/>
            </w:tcBorders>
            <w:vAlign w:val="center"/>
          </w:tcPr>
          <w:p w14:paraId="64DDCBC1" w14:textId="7723D356" w:rsidR="00E71B47" w:rsidRPr="00843678" w:rsidRDefault="002473EE"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August 31, 2020</w:t>
            </w:r>
          </w:p>
        </w:tc>
      </w:tr>
      <w:tr w:rsidR="00E71B47" w:rsidRPr="00843678" w14:paraId="618CEE98" w14:textId="642C2290" w:rsidTr="00277FC2">
        <w:trPr>
          <w:trHeight w:val="440"/>
        </w:trPr>
        <w:tc>
          <w:tcPr>
            <w:tcW w:w="1375" w:type="dxa"/>
            <w:vAlign w:val="center"/>
          </w:tcPr>
          <w:p w14:paraId="00A417A7" w14:textId="600C3C93" w:rsidR="00E71B47" w:rsidRPr="00843678" w:rsidRDefault="00E71B47" w:rsidP="00E71B4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PND 91</w:t>
            </w:r>
          </w:p>
        </w:tc>
        <w:tc>
          <w:tcPr>
            <w:tcW w:w="1491" w:type="dxa"/>
            <w:vMerge/>
            <w:tcBorders>
              <w:right w:val="single" w:sz="4" w:space="0" w:color="auto"/>
            </w:tcBorders>
          </w:tcPr>
          <w:p w14:paraId="322C1E23" w14:textId="0336E743" w:rsidR="00E71B47" w:rsidRPr="00843678" w:rsidRDefault="00E71B47" w:rsidP="008B07B7">
            <w:pPr>
              <w:spacing w:line="0" w:lineRule="atLeast"/>
              <w:jc w:val="center"/>
              <w:rPr>
                <w:rFonts w:ascii="Times New Roman" w:hAnsi="Times New Roman" w:cs="Times New Roman"/>
                <w:color w:val="000000" w:themeColor="text1"/>
              </w:rPr>
            </w:pPr>
          </w:p>
        </w:tc>
        <w:tc>
          <w:tcPr>
            <w:tcW w:w="3064" w:type="dxa"/>
            <w:vMerge/>
            <w:tcBorders>
              <w:right w:val="single" w:sz="4" w:space="0" w:color="auto"/>
            </w:tcBorders>
          </w:tcPr>
          <w:p w14:paraId="3ECAC296" w14:textId="77777777" w:rsidR="00E71B47" w:rsidRPr="00843678" w:rsidRDefault="00E71B47" w:rsidP="008B07B7">
            <w:pPr>
              <w:spacing w:line="0" w:lineRule="atLeast"/>
              <w:jc w:val="center"/>
              <w:rPr>
                <w:rFonts w:ascii="Times New Roman" w:hAnsi="Times New Roman" w:cs="Times New Roman"/>
                <w:color w:val="000000" w:themeColor="text1"/>
              </w:rPr>
            </w:pPr>
          </w:p>
        </w:tc>
        <w:tc>
          <w:tcPr>
            <w:tcW w:w="3065" w:type="dxa"/>
            <w:vMerge/>
            <w:tcBorders>
              <w:left w:val="single" w:sz="4" w:space="0" w:color="auto"/>
            </w:tcBorders>
          </w:tcPr>
          <w:p w14:paraId="0C36DDA9" w14:textId="616019CD" w:rsidR="00E71B47" w:rsidRPr="00843678" w:rsidRDefault="00E71B47" w:rsidP="00E71B47">
            <w:pPr>
              <w:spacing w:line="0" w:lineRule="atLeast"/>
              <w:jc w:val="center"/>
              <w:rPr>
                <w:rFonts w:ascii="Times New Roman" w:hAnsi="Times New Roman" w:cs="Times New Roman"/>
                <w:color w:val="000000" w:themeColor="text1"/>
              </w:rPr>
            </w:pPr>
          </w:p>
        </w:tc>
      </w:tr>
    </w:tbl>
    <w:p w14:paraId="1440ACBB" w14:textId="102F4CF1" w:rsidR="00E71B47" w:rsidRPr="00843678" w:rsidRDefault="00E71B47" w:rsidP="00FC775A">
      <w:pPr>
        <w:spacing w:after="0" w:line="0" w:lineRule="atLeast"/>
        <w:jc w:val="both"/>
        <w:rPr>
          <w:rFonts w:ascii="Times New Roman" w:hAnsi="Times New Roman" w:cs="Times New Roman"/>
          <w:color w:val="000000" w:themeColor="text1"/>
        </w:rPr>
      </w:pPr>
    </w:p>
    <w:p w14:paraId="4E02D53D" w14:textId="43A913AB" w:rsidR="00CA49D9" w:rsidRPr="00843678" w:rsidRDefault="00501361" w:rsidP="00FC775A">
      <w:pPr>
        <w:spacing w:after="0" w:line="0" w:lineRule="atLeast"/>
        <w:jc w:val="both"/>
        <w:rPr>
          <w:rFonts w:ascii="Times New Roman" w:hAnsi="Times New Roman" w:cs="Times New Roman"/>
          <w:b/>
          <w:bCs/>
          <w:color w:val="000000" w:themeColor="text1"/>
        </w:rPr>
      </w:pPr>
      <w:r>
        <w:rPr>
          <w:rFonts w:ascii="Times New Roman" w:hAnsi="Times New Roman" w:cs="Times New Roman"/>
          <w:color w:val="000000" w:themeColor="text1"/>
        </w:rPr>
        <w:t>(</w:t>
      </w:r>
      <w:r w:rsidR="00564F08" w:rsidRPr="00843678">
        <w:rPr>
          <w:rFonts w:ascii="Times New Roman" w:hAnsi="Times New Roman" w:cs="Times New Roman"/>
          <w:color w:val="000000" w:themeColor="text1"/>
        </w:rPr>
        <w:t xml:space="preserve">Source: </w:t>
      </w:r>
      <w:hyperlink r:id="rId13" w:history="1">
        <w:r w:rsidR="00B66F9E" w:rsidRPr="00843678">
          <w:rPr>
            <w:rStyle w:val="Hyperlink"/>
            <w:rFonts w:ascii="Times New Roman" w:hAnsi="Times New Roman" w:cs="Times New Roman"/>
            <w:color w:val="000000" w:themeColor="text1"/>
            <w:u w:val="none"/>
          </w:rPr>
          <w:t>Por Chor 22/2563 (24 March 2020)</w:t>
        </w:r>
      </w:hyperlink>
      <w:r w:rsidR="00B66F9E" w:rsidRPr="00843678">
        <w:rPr>
          <w:rFonts w:ascii="Times New Roman" w:hAnsi="Times New Roman" w:cs="Times New Roman"/>
          <w:color w:val="000000" w:themeColor="text1"/>
        </w:rPr>
        <w:t xml:space="preserve">; </w:t>
      </w:r>
      <w:hyperlink r:id="rId14" w:history="1">
        <w:r w:rsidR="00B66F9E" w:rsidRPr="00843678">
          <w:rPr>
            <w:rStyle w:val="Hyperlink"/>
            <w:rFonts w:ascii="Times New Roman" w:hAnsi="Times New Roman" w:cs="Times New Roman"/>
            <w:color w:val="000000" w:themeColor="text1"/>
            <w:u w:val="none"/>
          </w:rPr>
          <w:t>Por Chor 24/2563 (29 March 2020)</w:t>
        </w:r>
      </w:hyperlink>
      <w:r w:rsidR="0008472C">
        <w:rPr>
          <w:rStyle w:val="Hyperlink"/>
          <w:rFonts w:ascii="Times New Roman" w:hAnsi="Times New Roman" w:cs="Times New Roman"/>
          <w:color w:val="000000" w:themeColor="text1"/>
          <w:u w:val="none"/>
        </w:rPr>
        <w:t>; Notification of the Ministry of Finance, R.e., Extension of Period of submission of tax returns and payment of tax for persons liable to pay natural person income tax regarding assessable income for the tax year 2019 (No. 2), Government Gazette, Volume 137, Special Issue, part 83 Ngor., April 10, 2020.</w:t>
      </w:r>
      <w:r>
        <w:rPr>
          <w:rStyle w:val="Hyperlink"/>
          <w:rFonts w:ascii="Times New Roman" w:hAnsi="Times New Roman" w:cs="Times New Roman"/>
          <w:color w:val="000000" w:themeColor="text1"/>
          <w:u w:val="none"/>
        </w:rPr>
        <w:t>)</w:t>
      </w:r>
    </w:p>
    <w:p w14:paraId="6CD975B7" w14:textId="2C442FF5" w:rsidR="00475FBA" w:rsidRPr="00843678" w:rsidRDefault="00475FBA" w:rsidP="00FC775A">
      <w:pPr>
        <w:spacing w:after="0" w:line="0" w:lineRule="atLeast"/>
        <w:jc w:val="both"/>
        <w:rPr>
          <w:rFonts w:ascii="Times New Roman" w:hAnsi="Times New Roman" w:cs="Times New Roman"/>
          <w:color w:val="000000" w:themeColor="text1"/>
        </w:rPr>
      </w:pPr>
    </w:p>
    <w:p w14:paraId="1273E6F9"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03708D24" w14:textId="458E46E2" w:rsidR="00A92793" w:rsidRPr="00843678" w:rsidRDefault="002473EE"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 xml:space="preserve">Expedited </w:t>
      </w:r>
      <w:r w:rsidR="00A92793" w:rsidRPr="00843678">
        <w:rPr>
          <w:rFonts w:ascii="Times New Roman" w:hAnsi="Times New Roman" w:cs="Times New Roman"/>
          <w:b/>
          <w:bCs/>
          <w:color w:val="000000" w:themeColor="text1"/>
          <w:u w:val="single"/>
        </w:rPr>
        <w:t>VAT</w:t>
      </w:r>
      <w:r w:rsidRPr="00843678">
        <w:rPr>
          <w:rFonts w:ascii="Times New Roman" w:hAnsi="Times New Roman" w:cs="Times New Roman"/>
          <w:b/>
          <w:bCs/>
          <w:color w:val="000000" w:themeColor="text1"/>
          <w:u w:val="single"/>
        </w:rPr>
        <w:t xml:space="preserve"> refund policy</w:t>
      </w:r>
    </w:p>
    <w:p w14:paraId="0FE357C7" w14:textId="50E0E0DF" w:rsidR="00A92793" w:rsidRPr="00843678" w:rsidRDefault="002473EE"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In response to the COVID-19 situation, refund of VAT to “Good Exporter” will be expedited as follows:</w:t>
      </w:r>
    </w:p>
    <w:p w14:paraId="53ADA881" w14:textId="77777777" w:rsidR="002473EE" w:rsidRPr="00843678" w:rsidRDefault="002473EE" w:rsidP="00A92793">
      <w:pPr>
        <w:spacing w:after="0" w:line="0" w:lineRule="atLeast"/>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875"/>
        <w:gridCol w:w="3070"/>
        <w:gridCol w:w="3071"/>
      </w:tblGrid>
      <w:tr w:rsidR="00A92793" w:rsidRPr="00843678" w14:paraId="7D9FD941" w14:textId="77777777" w:rsidTr="002473EE">
        <w:tc>
          <w:tcPr>
            <w:tcW w:w="2875" w:type="dxa"/>
          </w:tcPr>
          <w:p w14:paraId="1FAB1B87" w14:textId="6FD3EFDC" w:rsidR="00A92793" w:rsidRPr="00843678" w:rsidRDefault="002473EE" w:rsidP="002473EE">
            <w:pPr>
              <w:spacing w:line="0" w:lineRule="atLeast"/>
              <w:rPr>
                <w:rFonts w:ascii="Times New Roman" w:hAnsi="Times New Roman" w:cs="Times New Roman"/>
                <w:b/>
                <w:bCs/>
                <w:color w:val="000000" w:themeColor="text1"/>
              </w:rPr>
            </w:pPr>
            <w:r w:rsidRPr="00843678">
              <w:rPr>
                <w:rFonts w:ascii="Times New Roman" w:hAnsi="Times New Roman" w:cs="Times New Roman"/>
                <w:b/>
                <w:bCs/>
                <w:color w:val="000000" w:themeColor="text1"/>
              </w:rPr>
              <w:t>Refund application method</w:t>
            </w:r>
          </w:p>
        </w:tc>
        <w:tc>
          <w:tcPr>
            <w:tcW w:w="3070" w:type="dxa"/>
          </w:tcPr>
          <w:p w14:paraId="024BC04C" w14:textId="7AC3C4CE" w:rsidR="00A92793" w:rsidRPr="00843678" w:rsidRDefault="002473EE"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General refund timeframe</w:t>
            </w:r>
          </w:p>
        </w:tc>
        <w:tc>
          <w:tcPr>
            <w:tcW w:w="3071" w:type="dxa"/>
          </w:tcPr>
          <w:p w14:paraId="2F1CC434" w14:textId="75309CF4" w:rsidR="00A92793" w:rsidRPr="00843678" w:rsidRDefault="002473EE"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Expedited refund timeframe</w:t>
            </w:r>
          </w:p>
        </w:tc>
      </w:tr>
      <w:tr w:rsidR="00A92793" w:rsidRPr="00843678" w14:paraId="1FD46E12" w14:textId="77777777" w:rsidTr="002473EE">
        <w:tc>
          <w:tcPr>
            <w:tcW w:w="2875" w:type="dxa"/>
          </w:tcPr>
          <w:p w14:paraId="785E85B3" w14:textId="7D7F3A01"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Online</w:t>
            </w:r>
          </w:p>
        </w:tc>
        <w:tc>
          <w:tcPr>
            <w:tcW w:w="3070" w:type="dxa"/>
          </w:tcPr>
          <w:p w14:paraId="5D3C243A" w14:textId="52BDC85A"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Within 30 days</w:t>
            </w:r>
          </w:p>
        </w:tc>
        <w:tc>
          <w:tcPr>
            <w:tcW w:w="3071" w:type="dxa"/>
          </w:tcPr>
          <w:p w14:paraId="6746BD2E" w14:textId="4D883492" w:rsidR="00A92793" w:rsidRPr="00843678" w:rsidRDefault="002473E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15 days</w:t>
            </w:r>
          </w:p>
        </w:tc>
      </w:tr>
      <w:tr w:rsidR="00A92793" w:rsidRPr="00843678" w14:paraId="432FC4EA" w14:textId="77777777" w:rsidTr="002473EE">
        <w:trPr>
          <w:trHeight w:val="278"/>
        </w:trPr>
        <w:tc>
          <w:tcPr>
            <w:tcW w:w="2875" w:type="dxa"/>
          </w:tcPr>
          <w:p w14:paraId="338F72A5" w14:textId="7736B77B"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Paper</w:t>
            </w:r>
          </w:p>
        </w:tc>
        <w:tc>
          <w:tcPr>
            <w:tcW w:w="3070" w:type="dxa"/>
          </w:tcPr>
          <w:p w14:paraId="212DF012" w14:textId="32A9B6D6" w:rsidR="00A92793" w:rsidRPr="00843678" w:rsidRDefault="002473EE" w:rsidP="008B07B7">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Within 60 days</w:t>
            </w:r>
          </w:p>
        </w:tc>
        <w:tc>
          <w:tcPr>
            <w:tcW w:w="3071" w:type="dxa"/>
          </w:tcPr>
          <w:p w14:paraId="7A5FAAFE" w14:textId="2EF48F65" w:rsidR="00A92793" w:rsidRPr="00843678" w:rsidRDefault="002473EE"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Within 45 days</w:t>
            </w:r>
          </w:p>
        </w:tc>
      </w:tr>
    </w:tbl>
    <w:p w14:paraId="1AA21B8D" w14:textId="77777777" w:rsidR="00A92793" w:rsidRPr="00843678" w:rsidRDefault="00A92793" w:rsidP="00A92793">
      <w:pPr>
        <w:spacing w:after="0" w:line="0" w:lineRule="atLeast"/>
        <w:jc w:val="both"/>
        <w:rPr>
          <w:rFonts w:ascii="Times New Roman" w:hAnsi="Times New Roman" w:cs="Times New Roman"/>
          <w:b/>
          <w:bCs/>
          <w:color w:val="000000" w:themeColor="text1"/>
        </w:rPr>
      </w:pPr>
    </w:p>
    <w:p w14:paraId="411AEBA9"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530C9C02" w14:textId="6AFC5F31" w:rsidR="003876B1" w:rsidRPr="00843678" w:rsidRDefault="003876B1"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sidRPr="00843678">
        <w:rPr>
          <w:rFonts w:ascii="Times New Roman" w:hAnsi="Times New Roman" w:cs="Times New Roman"/>
          <w:b/>
          <w:bCs/>
          <w:color w:val="000000" w:themeColor="text1"/>
          <w:u w:val="single"/>
        </w:rPr>
        <w:t>Withholding Tax Ra</w:t>
      </w:r>
      <w:r w:rsidR="00170CA2" w:rsidRPr="00843678">
        <w:rPr>
          <w:rFonts w:ascii="Times New Roman" w:hAnsi="Times New Roman" w:cs="Times New Roman"/>
          <w:b/>
          <w:bCs/>
          <w:color w:val="000000" w:themeColor="text1"/>
          <w:u w:val="single"/>
        </w:rPr>
        <w:t>t</w:t>
      </w:r>
      <w:r w:rsidRPr="00843678">
        <w:rPr>
          <w:rFonts w:ascii="Times New Roman" w:hAnsi="Times New Roman" w:cs="Times New Roman"/>
          <w:b/>
          <w:bCs/>
          <w:color w:val="000000" w:themeColor="text1"/>
          <w:u w:val="single"/>
        </w:rPr>
        <w:t>e Reductions</w:t>
      </w:r>
    </w:p>
    <w:p w14:paraId="54E5A21E" w14:textId="77777777" w:rsidR="00B62F59" w:rsidRPr="00843678" w:rsidRDefault="00B62F59"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Certain withholding tax rates as explained subsequently will re reduced from their general rate of 3% down to 1.5% during April to September, 2020. Thereafter it will increase to 2% during October to December, 2020. The following table are the details.</w:t>
      </w:r>
    </w:p>
    <w:p w14:paraId="14213AAD" w14:textId="77777777" w:rsidR="00B62F59" w:rsidRPr="00843678" w:rsidRDefault="00B62F59" w:rsidP="00A92793">
      <w:pPr>
        <w:spacing w:after="0" w:line="0" w:lineRule="atLeast"/>
        <w:jc w:val="both"/>
        <w:rPr>
          <w:rFonts w:ascii="Times New Roman" w:hAnsi="Times New Roman" w:cs="Times New Roman"/>
          <w:color w:val="000000" w:themeColor="text1"/>
        </w:rPr>
      </w:pPr>
    </w:p>
    <w:tbl>
      <w:tblPr>
        <w:tblStyle w:val="TableGrid"/>
        <w:tblpPr w:leftFromText="180" w:rightFromText="180" w:vertAnchor="text" w:horzAnchor="margin" w:tblpY="57"/>
        <w:tblW w:w="0" w:type="auto"/>
        <w:tblLook w:val="04A0" w:firstRow="1" w:lastRow="0" w:firstColumn="1" w:lastColumn="0" w:noHBand="0" w:noVBand="1"/>
      </w:tblPr>
      <w:tblGrid>
        <w:gridCol w:w="1435"/>
        <w:gridCol w:w="1620"/>
        <w:gridCol w:w="2970"/>
        <w:gridCol w:w="2991"/>
      </w:tblGrid>
      <w:tr w:rsidR="00170CA2" w:rsidRPr="00843678" w14:paraId="57C607E3" w14:textId="77777777" w:rsidTr="00170CA2">
        <w:tc>
          <w:tcPr>
            <w:tcW w:w="1435" w:type="dxa"/>
          </w:tcPr>
          <w:p w14:paraId="07D4DC40" w14:textId="644173D0"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lastRenderedPageBreak/>
              <w:t>Current Rate</w:t>
            </w:r>
          </w:p>
        </w:tc>
        <w:tc>
          <w:tcPr>
            <w:tcW w:w="1620" w:type="dxa"/>
          </w:tcPr>
          <w:p w14:paraId="0C12408B" w14:textId="162126D9"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Temporarily Reduced Rates</w:t>
            </w:r>
          </w:p>
        </w:tc>
        <w:tc>
          <w:tcPr>
            <w:tcW w:w="2970" w:type="dxa"/>
          </w:tcPr>
          <w:p w14:paraId="3342DE4D" w14:textId="445FDEF2"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Reduction Period</w:t>
            </w:r>
          </w:p>
          <w:p w14:paraId="27570697" w14:textId="3EA4C4C0"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(2020)</w:t>
            </w:r>
          </w:p>
        </w:tc>
        <w:tc>
          <w:tcPr>
            <w:tcW w:w="2991" w:type="dxa"/>
          </w:tcPr>
          <w:p w14:paraId="50A4A7CB" w14:textId="26443115" w:rsidR="00B62F59" w:rsidRPr="00843678" w:rsidRDefault="00B62F59" w:rsidP="00B62F59">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Tax Payment Method</w:t>
            </w:r>
          </w:p>
        </w:tc>
      </w:tr>
      <w:tr w:rsidR="00170CA2" w:rsidRPr="00843678" w14:paraId="0C791FC7" w14:textId="77777777" w:rsidTr="00277FC2">
        <w:trPr>
          <w:trHeight w:val="463"/>
        </w:trPr>
        <w:tc>
          <w:tcPr>
            <w:tcW w:w="1435" w:type="dxa"/>
            <w:vAlign w:val="center"/>
          </w:tcPr>
          <w:p w14:paraId="632973F1"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3%</w:t>
            </w:r>
          </w:p>
        </w:tc>
        <w:tc>
          <w:tcPr>
            <w:tcW w:w="1620" w:type="dxa"/>
            <w:vAlign w:val="center"/>
          </w:tcPr>
          <w:p w14:paraId="4851D4A5"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1.5%</w:t>
            </w:r>
          </w:p>
        </w:tc>
        <w:tc>
          <w:tcPr>
            <w:tcW w:w="2970" w:type="dxa"/>
            <w:vAlign w:val="center"/>
          </w:tcPr>
          <w:p w14:paraId="06578D98" w14:textId="67876D07"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April 1</w:t>
            </w:r>
            <w:r w:rsidRPr="00843678">
              <w:rPr>
                <w:rFonts w:ascii="Times New Roman" w:hAnsi="Times New Roman" w:cs="Times New Roman"/>
                <w:color w:val="000000" w:themeColor="text1"/>
                <w:vertAlign w:val="superscript"/>
              </w:rPr>
              <w:t>st</w:t>
            </w:r>
            <w:r w:rsidRPr="00843678">
              <w:rPr>
                <w:rFonts w:ascii="Times New Roman" w:hAnsi="Times New Roman" w:cs="Times New Roman"/>
                <w:color w:val="000000" w:themeColor="text1"/>
              </w:rPr>
              <w:t xml:space="preserve"> to September 30</w:t>
            </w:r>
            <w:r w:rsidRPr="00843678">
              <w:rPr>
                <w:rFonts w:ascii="Times New Roman" w:hAnsi="Times New Roman" w:cs="Times New Roman"/>
                <w:color w:val="000000" w:themeColor="text1"/>
                <w:vertAlign w:val="superscript"/>
              </w:rPr>
              <w:t>th</w:t>
            </w:r>
          </w:p>
        </w:tc>
        <w:tc>
          <w:tcPr>
            <w:tcW w:w="2991" w:type="dxa"/>
            <w:vAlign w:val="center"/>
          </w:tcPr>
          <w:p w14:paraId="67DFB6EA" w14:textId="667010FD"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 xml:space="preserve">Paper or online </w:t>
            </w:r>
          </w:p>
        </w:tc>
      </w:tr>
      <w:tr w:rsidR="00170CA2" w:rsidRPr="00843678" w14:paraId="72A27B44" w14:textId="77777777" w:rsidTr="00170CA2">
        <w:tc>
          <w:tcPr>
            <w:tcW w:w="1435" w:type="dxa"/>
            <w:vAlign w:val="center"/>
          </w:tcPr>
          <w:p w14:paraId="1DC4D6EF"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3%</w:t>
            </w:r>
          </w:p>
        </w:tc>
        <w:tc>
          <w:tcPr>
            <w:tcW w:w="1620" w:type="dxa"/>
            <w:vAlign w:val="center"/>
          </w:tcPr>
          <w:p w14:paraId="237646CC" w14:textId="77777777" w:rsidR="00B62F59" w:rsidRPr="00843678" w:rsidRDefault="00B62F59" w:rsidP="00B62F59">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2%</w:t>
            </w:r>
          </w:p>
        </w:tc>
        <w:tc>
          <w:tcPr>
            <w:tcW w:w="2970" w:type="dxa"/>
            <w:vAlign w:val="center"/>
          </w:tcPr>
          <w:p w14:paraId="0B86CDE3" w14:textId="69DF5728"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October 1st to December 31st</w:t>
            </w:r>
          </w:p>
        </w:tc>
        <w:tc>
          <w:tcPr>
            <w:tcW w:w="2991" w:type="dxa"/>
            <w:vAlign w:val="center"/>
          </w:tcPr>
          <w:p w14:paraId="4D9545C5" w14:textId="1E9B177D" w:rsidR="00B62F59" w:rsidRPr="00843678" w:rsidRDefault="00B62F59" w:rsidP="00B62F59">
            <w:pPr>
              <w:spacing w:line="0" w:lineRule="atLeast"/>
              <w:rPr>
                <w:rFonts w:ascii="Times New Roman" w:hAnsi="Times New Roman" w:cs="Times New Roman"/>
                <w:color w:val="000000" w:themeColor="text1"/>
              </w:rPr>
            </w:pPr>
            <w:r w:rsidRPr="00843678">
              <w:rPr>
                <w:rFonts w:ascii="Times New Roman" w:hAnsi="Times New Roman" w:cs="Times New Roman"/>
                <w:color w:val="000000" w:themeColor="text1"/>
              </w:rPr>
              <w:t>If payment via “e-Withholding Tax System” only</w:t>
            </w:r>
          </w:p>
        </w:tc>
      </w:tr>
    </w:tbl>
    <w:p w14:paraId="5395801C" w14:textId="77777777" w:rsidR="00B62F59" w:rsidRPr="00843678" w:rsidRDefault="00B62F59" w:rsidP="00A92793">
      <w:pPr>
        <w:spacing w:after="0" w:line="0" w:lineRule="atLeast"/>
        <w:jc w:val="both"/>
        <w:rPr>
          <w:rFonts w:ascii="Times New Roman" w:hAnsi="Times New Roman" w:cs="Times New Roman"/>
          <w:color w:val="000000" w:themeColor="text1"/>
        </w:rPr>
      </w:pPr>
    </w:p>
    <w:p w14:paraId="6D2B5634" w14:textId="2C6952DA" w:rsidR="00170CA2" w:rsidRPr="00843678" w:rsidRDefault="00170CA2" w:rsidP="00A92793">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The categories and types of income subject to such reduced withholding tax rates are summarized in the following table. They include service fees, royalties, hire of work fees, etc., which companies receive, but do not include withholding tax on salaries paid to employees. Details are as follows:</w:t>
      </w:r>
    </w:p>
    <w:p w14:paraId="3D6FC967" w14:textId="77777777" w:rsidR="00A92793" w:rsidRPr="00843678" w:rsidRDefault="00A92793" w:rsidP="00A92793">
      <w:pPr>
        <w:spacing w:after="0" w:line="0" w:lineRule="atLeast"/>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795"/>
        <w:gridCol w:w="2700"/>
        <w:gridCol w:w="4521"/>
      </w:tblGrid>
      <w:tr w:rsidR="00A92793" w:rsidRPr="00843678" w14:paraId="09B686C3" w14:textId="77777777" w:rsidTr="008B07B7">
        <w:trPr>
          <w:trHeight w:val="836"/>
        </w:trPr>
        <w:tc>
          <w:tcPr>
            <w:tcW w:w="1795" w:type="dxa"/>
            <w:vAlign w:val="center"/>
          </w:tcPr>
          <w:p w14:paraId="11242353" w14:textId="77777777" w:rsidR="00170CA2"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 xml:space="preserve">Income Category </w:t>
            </w:r>
          </w:p>
          <w:p w14:paraId="5FB0EA6D" w14:textId="2715F9FD" w:rsidR="00A92793"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(As defined under the Revenue Code)</w:t>
            </w:r>
          </w:p>
        </w:tc>
        <w:tc>
          <w:tcPr>
            <w:tcW w:w="2700" w:type="dxa"/>
            <w:vAlign w:val="center"/>
          </w:tcPr>
          <w:p w14:paraId="211E46B8" w14:textId="2DA5484A" w:rsidR="00A92793" w:rsidRPr="00843678" w:rsidRDefault="00170CA2" w:rsidP="00170CA2">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Income Recipient</w:t>
            </w:r>
          </w:p>
        </w:tc>
        <w:tc>
          <w:tcPr>
            <w:tcW w:w="4521" w:type="dxa"/>
            <w:vAlign w:val="center"/>
          </w:tcPr>
          <w:p w14:paraId="218BC2A2" w14:textId="18445D66" w:rsidR="00A92793" w:rsidRPr="00843678" w:rsidRDefault="00170CA2" w:rsidP="008B07B7">
            <w:pPr>
              <w:spacing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Notes</w:t>
            </w:r>
          </w:p>
        </w:tc>
      </w:tr>
      <w:tr w:rsidR="00A92793" w:rsidRPr="00843678" w14:paraId="500FA1C1" w14:textId="77777777" w:rsidTr="00843678">
        <w:trPr>
          <w:trHeight w:val="701"/>
        </w:trPr>
        <w:tc>
          <w:tcPr>
            <w:tcW w:w="1795" w:type="dxa"/>
            <w:vAlign w:val="center"/>
          </w:tcPr>
          <w:p w14:paraId="3A5CAC60" w14:textId="25DEB2FF" w:rsidR="00170CA2" w:rsidRPr="00843678" w:rsidRDefault="00170CA2"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(2) income</w:t>
            </w:r>
          </w:p>
        </w:tc>
        <w:tc>
          <w:tcPr>
            <w:tcW w:w="2700" w:type="dxa"/>
            <w:vAlign w:val="center"/>
          </w:tcPr>
          <w:p w14:paraId="0E303320" w14:textId="74ABF499" w:rsidR="00A92793" w:rsidRPr="00843678" w:rsidRDefault="00170CA2"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Compan</w:t>
            </w:r>
            <w:r w:rsidR="00030660" w:rsidRPr="00843678">
              <w:rPr>
                <w:rFonts w:ascii="Times New Roman" w:hAnsi="Times New Roman" w:cs="Times New Roman"/>
                <w:color w:val="000000" w:themeColor="text1"/>
              </w:rPr>
              <w:t>ies</w:t>
            </w:r>
            <w:r w:rsidRPr="00843678">
              <w:rPr>
                <w:rFonts w:ascii="Times New Roman" w:hAnsi="Times New Roman" w:cs="Times New Roman"/>
                <w:color w:val="000000" w:themeColor="text1"/>
              </w:rPr>
              <w:t xml:space="preserve"> </w:t>
            </w:r>
            <w:r w:rsidR="00030660" w:rsidRPr="00843678">
              <w:rPr>
                <w:rFonts w:ascii="Times New Roman" w:hAnsi="Times New Roman" w:cs="Times New Roman"/>
                <w:color w:val="000000" w:themeColor="text1"/>
              </w:rPr>
              <w:t xml:space="preserve">and </w:t>
            </w:r>
            <w:r w:rsidRPr="00843678">
              <w:rPr>
                <w:rFonts w:ascii="Times New Roman" w:hAnsi="Times New Roman" w:cs="Times New Roman"/>
                <w:color w:val="000000" w:themeColor="text1"/>
              </w:rPr>
              <w:t>juristic partnership</w:t>
            </w:r>
            <w:r w:rsidR="00030660" w:rsidRPr="00843678">
              <w:rPr>
                <w:rFonts w:ascii="Times New Roman" w:hAnsi="Times New Roman" w:cs="Times New Roman"/>
                <w:color w:val="000000" w:themeColor="text1"/>
              </w:rPr>
              <w:t>s*</w:t>
            </w:r>
          </w:p>
        </w:tc>
        <w:tc>
          <w:tcPr>
            <w:tcW w:w="4521" w:type="dxa"/>
          </w:tcPr>
          <w:p w14:paraId="6A26080C" w14:textId="77777777" w:rsidR="00A92793" w:rsidRPr="00843678" w:rsidRDefault="00A92793" w:rsidP="008B07B7">
            <w:pPr>
              <w:spacing w:line="0" w:lineRule="atLeast"/>
              <w:jc w:val="both"/>
              <w:rPr>
                <w:rFonts w:ascii="Times New Roman" w:hAnsi="Times New Roman" w:cs="Times New Roman"/>
                <w:color w:val="000000" w:themeColor="text1"/>
              </w:rPr>
            </w:pPr>
          </w:p>
        </w:tc>
      </w:tr>
      <w:tr w:rsidR="00030660" w:rsidRPr="00843678" w14:paraId="558EBD19" w14:textId="77777777" w:rsidTr="00843678">
        <w:trPr>
          <w:trHeight w:val="620"/>
        </w:trPr>
        <w:tc>
          <w:tcPr>
            <w:tcW w:w="1795" w:type="dxa"/>
            <w:vAlign w:val="center"/>
          </w:tcPr>
          <w:p w14:paraId="02BD4A73" w14:textId="586E0FBB"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(3) income</w:t>
            </w:r>
          </w:p>
        </w:tc>
        <w:tc>
          <w:tcPr>
            <w:tcW w:w="2700" w:type="dxa"/>
            <w:vAlign w:val="center"/>
          </w:tcPr>
          <w:p w14:paraId="02699F86" w14:textId="25C5B81F"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Companies and juristic partnerships*</w:t>
            </w:r>
          </w:p>
        </w:tc>
        <w:tc>
          <w:tcPr>
            <w:tcW w:w="4521" w:type="dxa"/>
          </w:tcPr>
          <w:p w14:paraId="291995A6" w14:textId="34414D6A" w:rsidR="00030660" w:rsidRPr="00843678" w:rsidRDefault="00B2041B"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xml:space="preserve">Reduction applicable to income only from </w:t>
            </w:r>
            <w:r w:rsidR="00030660" w:rsidRPr="00843678">
              <w:rPr>
                <w:rFonts w:ascii="Times New Roman" w:hAnsi="Times New Roman" w:cs="Times New Roman"/>
                <w:color w:val="000000" w:themeColor="text1"/>
              </w:rPr>
              <w:t>goodwill, copyright, or other rights.</w:t>
            </w:r>
          </w:p>
        </w:tc>
      </w:tr>
      <w:tr w:rsidR="00A92793" w:rsidRPr="00843678" w14:paraId="5E6B3ACC" w14:textId="77777777" w:rsidTr="008B07B7">
        <w:trPr>
          <w:trHeight w:val="935"/>
        </w:trPr>
        <w:tc>
          <w:tcPr>
            <w:tcW w:w="1795" w:type="dxa"/>
            <w:vAlign w:val="center"/>
          </w:tcPr>
          <w:p w14:paraId="5FF956F9" w14:textId="6AEDA3D9" w:rsidR="00170CA2" w:rsidRPr="00843678" w:rsidRDefault="00170CA2" w:rsidP="008B07B7">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(6) income</w:t>
            </w:r>
          </w:p>
        </w:tc>
        <w:tc>
          <w:tcPr>
            <w:tcW w:w="2700" w:type="dxa"/>
            <w:vAlign w:val="center"/>
          </w:tcPr>
          <w:p w14:paraId="0C92C673" w14:textId="6C1CE5F0" w:rsidR="00A92793"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r w:rsidR="00A92793" w:rsidRPr="00843678">
              <w:rPr>
                <w:rFonts w:ascii="Times New Roman" w:hAnsi="Times New Roman" w:cs="Times New Roman"/>
                <w:color w:val="000000" w:themeColor="text1"/>
              </w:rPr>
              <w:t>*</w:t>
            </w:r>
          </w:p>
        </w:tc>
        <w:tc>
          <w:tcPr>
            <w:tcW w:w="4521" w:type="dxa"/>
          </w:tcPr>
          <w:p w14:paraId="75D3EE55" w14:textId="77777777" w:rsidR="00A92793" w:rsidRPr="00843678" w:rsidRDefault="00A92793" w:rsidP="008B07B7">
            <w:pPr>
              <w:spacing w:line="0" w:lineRule="atLeast"/>
              <w:jc w:val="both"/>
              <w:rPr>
                <w:rFonts w:ascii="Times New Roman" w:hAnsi="Times New Roman" w:cs="Times New Roman"/>
                <w:color w:val="000000" w:themeColor="text1"/>
              </w:rPr>
            </w:pPr>
          </w:p>
        </w:tc>
      </w:tr>
      <w:tr w:rsidR="00030660" w:rsidRPr="00843678" w14:paraId="3BCA510D" w14:textId="77777777" w:rsidTr="008B07B7">
        <w:trPr>
          <w:trHeight w:val="1061"/>
        </w:trPr>
        <w:tc>
          <w:tcPr>
            <w:tcW w:w="1795" w:type="dxa"/>
            <w:vAlign w:val="center"/>
          </w:tcPr>
          <w:p w14:paraId="52BB9121" w14:textId="3E869F7F"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(7) income</w:t>
            </w:r>
          </w:p>
        </w:tc>
        <w:tc>
          <w:tcPr>
            <w:tcW w:w="2700" w:type="dxa"/>
            <w:vAlign w:val="center"/>
          </w:tcPr>
          <w:p w14:paraId="34BDBBAD" w14:textId="628871B8"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p>
        </w:tc>
        <w:tc>
          <w:tcPr>
            <w:tcW w:w="4521" w:type="dxa"/>
          </w:tcPr>
          <w:p w14:paraId="6DD5BD41" w14:textId="77777777" w:rsidR="00030660" w:rsidRPr="00843678" w:rsidRDefault="00030660" w:rsidP="00030660">
            <w:pPr>
              <w:spacing w:line="0" w:lineRule="atLeast"/>
              <w:jc w:val="both"/>
              <w:rPr>
                <w:rFonts w:ascii="Times New Roman" w:hAnsi="Times New Roman" w:cs="Times New Roman"/>
                <w:color w:val="000000" w:themeColor="text1"/>
              </w:rPr>
            </w:pPr>
          </w:p>
        </w:tc>
      </w:tr>
      <w:tr w:rsidR="00030660" w:rsidRPr="00843678" w14:paraId="3032F73A" w14:textId="77777777" w:rsidTr="008B07B7">
        <w:trPr>
          <w:trHeight w:val="1664"/>
        </w:trPr>
        <w:tc>
          <w:tcPr>
            <w:tcW w:w="1795" w:type="dxa"/>
            <w:vAlign w:val="center"/>
          </w:tcPr>
          <w:p w14:paraId="5B942747" w14:textId="09405729"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222222"/>
                <w:shd w:val="clear" w:color="auto" w:fill="FFFFFF"/>
              </w:rPr>
              <w:t>§40, (8) income</w:t>
            </w:r>
          </w:p>
        </w:tc>
        <w:tc>
          <w:tcPr>
            <w:tcW w:w="2700" w:type="dxa"/>
            <w:vAlign w:val="center"/>
          </w:tcPr>
          <w:p w14:paraId="5308219D" w14:textId="6597B4A7" w:rsidR="00030660" w:rsidRPr="00843678" w:rsidRDefault="00030660" w:rsidP="00030660">
            <w:pPr>
              <w:spacing w:line="0" w:lineRule="atLeast"/>
              <w:jc w:val="center"/>
              <w:rPr>
                <w:rFonts w:ascii="Times New Roman" w:hAnsi="Times New Roman" w:cs="Times New Roman"/>
                <w:color w:val="000000" w:themeColor="text1"/>
              </w:rPr>
            </w:pPr>
            <w:r w:rsidRPr="00843678">
              <w:rPr>
                <w:rFonts w:ascii="Times New Roman" w:hAnsi="Times New Roman" w:cs="Times New Roman"/>
                <w:color w:val="000000" w:themeColor="text1"/>
              </w:rPr>
              <w:t>Persons liable to personal income tax, and corporate income tax*</w:t>
            </w:r>
          </w:p>
        </w:tc>
        <w:tc>
          <w:tcPr>
            <w:tcW w:w="4521" w:type="dxa"/>
          </w:tcPr>
          <w:p w14:paraId="11D91B04" w14:textId="39C58ECF" w:rsidR="00B2041B" w:rsidRPr="00843678" w:rsidRDefault="00B2041B"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Reduction applicable to only income from hire of work, reward</w:t>
            </w:r>
            <w:r w:rsidR="00843678" w:rsidRPr="00843678">
              <w:rPr>
                <w:rFonts w:ascii="Times New Roman" w:hAnsi="Times New Roman" w:cs="Times New Roman"/>
                <w:color w:val="000000" w:themeColor="text1"/>
              </w:rPr>
              <w:t>s</w:t>
            </w:r>
            <w:r w:rsidRPr="00843678">
              <w:rPr>
                <w:rFonts w:ascii="Times New Roman" w:hAnsi="Times New Roman" w:cs="Times New Roman"/>
                <w:color w:val="000000" w:themeColor="text1"/>
              </w:rPr>
              <w:t>, dis</w:t>
            </w:r>
            <w:r w:rsidR="00843678" w:rsidRPr="00843678">
              <w:rPr>
                <w:rFonts w:ascii="Times New Roman" w:hAnsi="Times New Roman" w:cs="Times New Roman"/>
                <w:color w:val="000000" w:themeColor="text1"/>
              </w:rPr>
              <w:t>c</w:t>
            </w:r>
            <w:r w:rsidRPr="00843678">
              <w:rPr>
                <w:rFonts w:ascii="Times New Roman" w:hAnsi="Times New Roman" w:cs="Times New Roman"/>
                <w:color w:val="000000" w:themeColor="text1"/>
              </w:rPr>
              <w:t>ount</w:t>
            </w:r>
            <w:r w:rsidR="00843678" w:rsidRPr="00843678">
              <w:rPr>
                <w:rFonts w:ascii="Times New Roman" w:hAnsi="Times New Roman" w:cs="Times New Roman"/>
                <w:color w:val="000000" w:themeColor="text1"/>
              </w:rPr>
              <w:t>s</w:t>
            </w:r>
            <w:r w:rsidRPr="00843678">
              <w:rPr>
                <w:rFonts w:ascii="Times New Roman" w:hAnsi="Times New Roman" w:cs="Times New Roman"/>
                <w:color w:val="000000" w:themeColor="text1"/>
              </w:rPr>
              <w:t>, or any benefit from sale promotion, and the provision of services. However, excluding payments as specified in Ministerial Regulation No. 144, (3), (15), (16), (17)</w:t>
            </w:r>
            <w:r w:rsidR="00843678" w:rsidRPr="00843678">
              <w:rPr>
                <w:rFonts w:ascii="Times New Roman" w:hAnsi="Times New Roman" w:cs="Times New Roman"/>
                <w:color w:val="000000" w:themeColor="text1"/>
              </w:rPr>
              <w:t>, as well as payments for hotel services, restaurant services, and life insurance premiums.</w:t>
            </w:r>
          </w:p>
          <w:p w14:paraId="79FE69EF" w14:textId="2FF62AEA" w:rsidR="00843678" w:rsidRPr="00843678" w:rsidRDefault="00843678" w:rsidP="00030660">
            <w:pPr>
              <w:spacing w:line="0" w:lineRule="atLeast"/>
              <w:jc w:val="both"/>
              <w:rPr>
                <w:rFonts w:ascii="Times New Roman" w:hAnsi="Times New Roman" w:cs="Times New Roman"/>
                <w:color w:val="000000" w:themeColor="text1"/>
              </w:rPr>
            </w:pPr>
          </w:p>
        </w:tc>
      </w:tr>
      <w:tr w:rsidR="00A92793" w:rsidRPr="00843678" w14:paraId="641D617D" w14:textId="77777777" w:rsidTr="008B07B7">
        <w:trPr>
          <w:trHeight w:val="215"/>
        </w:trPr>
        <w:tc>
          <w:tcPr>
            <w:tcW w:w="9016" w:type="dxa"/>
            <w:gridSpan w:val="3"/>
            <w:vAlign w:val="center"/>
          </w:tcPr>
          <w:p w14:paraId="2E433A39" w14:textId="27A9F5B0" w:rsidR="00A92793" w:rsidRPr="00843678" w:rsidRDefault="00030660" w:rsidP="00030660">
            <w:pPr>
              <w:spacing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 Excludes for-profit foundations and associations, and those published under Section 47 (7) (b) of the Revenue Code.</w:t>
            </w:r>
          </w:p>
        </w:tc>
      </w:tr>
    </w:tbl>
    <w:p w14:paraId="5631EEDF"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30BF38A3" w14:textId="508EF084" w:rsidR="00A92793" w:rsidRPr="00843678" w:rsidRDefault="00501361"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w:t>
      </w:r>
      <w:r w:rsidR="00843678" w:rsidRPr="00843678">
        <w:rPr>
          <w:rFonts w:ascii="Times New Roman" w:hAnsi="Times New Roman" w:cs="Times New Roman"/>
          <w:color w:val="000000" w:themeColor="text1"/>
        </w:rPr>
        <w:t xml:space="preserve">Source: </w:t>
      </w:r>
      <w:r w:rsidR="00A92793" w:rsidRPr="00843678">
        <w:rPr>
          <w:rFonts w:ascii="Times New Roman" w:hAnsi="Times New Roman" w:cs="Times New Roman"/>
          <w:color w:val="000000" w:themeColor="text1"/>
        </w:rPr>
        <w:t>Ministerial Regulation No. 361, Issued under the Revenue Code; Departmental Regulation No. Taw Paw 324/2563.</w:t>
      </w:r>
      <w:r>
        <w:rPr>
          <w:rFonts w:ascii="Times New Roman" w:hAnsi="Times New Roman" w:cs="Times New Roman"/>
          <w:color w:val="000000" w:themeColor="text1"/>
        </w:rPr>
        <w:t>)</w:t>
      </w:r>
    </w:p>
    <w:p w14:paraId="3351EFD6" w14:textId="696AB4B0" w:rsidR="00843678" w:rsidRDefault="00843678" w:rsidP="00A92793">
      <w:pPr>
        <w:spacing w:after="0" w:line="0" w:lineRule="atLeast"/>
        <w:jc w:val="both"/>
        <w:rPr>
          <w:rFonts w:ascii="Times New Roman" w:hAnsi="Times New Roman" w:cs="Times New Roman"/>
          <w:b/>
          <w:bCs/>
          <w:color w:val="000000" w:themeColor="text1"/>
          <w:u w:val="single"/>
        </w:rPr>
      </w:pPr>
    </w:p>
    <w:p w14:paraId="13D56356" w14:textId="77777777" w:rsidR="00E85237" w:rsidRPr="00843678" w:rsidRDefault="00E85237" w:rsidP="00A92793">
      <w:pPr>
        <w:spacing w:after="0" w:line="0" w:lineRule="atLeast"/>
        <w:jc w:val="both"/>
        <w:rPr>
          <w:rFonts w:ascii="Times New Roman" w:hAnsi="Times New Roman" w:cs="Times New Roman"/>
          <w:b/>
          <w:bCs/>
          <w:color w:val="000000" w:themeColor="text1"/>
          <w:u w:val="single"/>
        </w:rPr>
      </w:pPr>
    </w:p>
    <w:p w14:paraId="006AE3E6" w14:textId="14C5224B" w:rsidR="004854D7" w:rsidRPr="00843678" w:rsidRDefault="006570CD" w:rsidP="00A92793">
      <w:pPr>
        <w:pStyle w:val="ListParagraph"/>
        <w:numPr>
          <w:ilvl w:val="0"/>
          <w:numId w:val="5"/>
        </w:numPr>
        <w:spacing w:after="0" w:line="0" w:lineRule="atLeast"/>
        <w:ind w:left="360"/>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Triple deduction for salary expense (SMEs)</w:t>
      </w:r>
    </w:p>
    <w:p w14:paraId="38004582" w14:textId="2BA0753B" w:rsidR="006570CD" w:rsidRDefault="006570CD"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Small and mid-sized companies (“SMEs”) will be able to deduct as expense three times (300%) of employee salary expenses when calculating its corporate income tax (“CIT”). All of the following conditions must be satisfied to enjoy this tax treatment.</w:t>
      </w:r>
    </w:p>
    <w:p w14:paraId="6F41833D" w14:textId="77777777" w:rsidR="006570CD" w:rsidRDefault="006570CD" w:rsidP="00A92793">
      <w:pPr>
        <w:spacing w:after="0" w:line="0" w:lineRule="atLeast"/>
        <w:jc w:val="both"/>
        <w:rPr>
          <w:rFonts w:ascii="Times New Roman" w:hAnsi="Times New Roman" w:cs="Times New Roman"/>
          <w:color w:val="000000" w:themeColor="text1"/>
        </w:rPr>
      </w:pPr>
    </w:p>
    <w:p w14:paraId="0841208E" w14:textId="3CE80DBA"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alaries paid for April, May, June, and July of 2020 will be eligible;</w:t>
      </w:r>
    </w:p>
    <w:p w14:paraId="7C2DB029" w14:textId="678ACEE5"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revenue of the tax year which ended on or prior to September 30, 2019 must have been 500,000,000 Baht or less;</w:t>
      </w:r>
    </w:p>
    <w:p w14:paraId="61716798" w14:textId="5B983225" w:rsidR="00A92793" w:rsidRPr="006570CD" w:rsidRDefault="006570CD" w:rsidP="006570CD">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number of employees for the tax year which ended on or prior to September 30, 2019 must have been 200 or less;</w:t>
      </w:r>
    </w:p>
    <w:p w14:paraId="7C26C19C" w14:textId="75D7FF79" w:rsidR="006570CD" w:rsidRPr="00843678"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The salary of employees who receive 15,000 Baht or more per month will not be eligible for this tax treatment;</w:t>
      </w:r>
    </w:p>
    <w:p w14:paraId="73A3EB4A" w14:textId="0068B2BD" w:rsidR="006570CD" w:rsidRDefault="006570CD"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Salary expense for employees who have not registered for social security is not eligible for this tax treatment;</w:t>
      </w:r>
    </w:p>
    <w:p w14:paraId="29229620" w14:textId="59CF532E" w:rsidR="006570CD" w:rsidRPr="00843678" w:rsidRDefault="007532FB" w:rsidP="00A92793">
      <w:pPr>
        <w:pStyle w:val="ListParagraph"/>
        <w:numPr>
          <w:ilvl w:val="0"/>
          <w:numId w:val="2"/>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There must not be a reduction of employee count from that as at December 31, 2019 during the period in which the triple deduction is taken. </w:t>
      </w:r>
    </w:p>
    <w:p w14:paraId="0777862D" w14:textId="77777777" w:rsidR="00A92793" w:rsidRPr="00843678" w:rsidRDefault="00A92793" w:rsidP="00A92793">
      <w:pPr>
        <w:spacing w:after="0" w:line="0" w:lineRule="atLeast"/>
        <w:jc w:val="both"/>
        <w:rPr>
          <w:rFonts w:ascii="Times New Roman" w:hAnsi="Times New Roman" w:cs="Times New Roman"/>
          <w:b/>
          <w:bCs/>
          <w:color w:val="000000" w:themeColor="text1"/>
          <w:u w:val="single"/>
        </w:rPr>
      </w:pPr>
    </w:p>
    <w:p w14:paraId="0F631530"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673085B0" w14:textId="45F3BDEF" w:rsidR="00A92793" w:rsidRPr="00843678" w:rsidRDefault="007532F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hint="eastAsia"/>
          <w:b/>
          <w:bCs/>
          <w:color w:val="000000" w:themeColor="text1"/>
          <w:u w:val="single"/>
        </w:rPr>
        <w:t>1</w:t>
      </w:r>
      <w:r>
        <w:rPr>
          <w:rFonts w:ascii="Times New Roman" w:hAnsi="Times New Roman" w:cs="Times New Roman"/>
          <w:b/>
          <w:bCs/>
          <w:color w:val="000000" w:themeColor="text1"/>
          <w:u w:val="single"/>
        </w:rPr>
        <w:t>.5 times deduction of interest payments (SMEs)</w:t>
      </w:r>
    </w:p>
    <w:p w14:paraId="169C7692" w14:textId="7A286BE3" w:rsidR="007532FB" w:rsidRPr="00843678" w:rsidRDefault="007532FB"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SMEs who satisfy all of the following conditions are eligible to take a 1.5 times (150%) deduction of interest payments when calculating its CIT.</w:t>
      </w:r>
    </w:p>
    <w:p w14:paraId="58248606" w14:textId="53099F21" w:rsidR="007532FB" w:rsidRPr="00271230" w:rsidRDefault="007532FB" w:rsidP="006D78A7">
      <w:pPr>
        <w:pStyle w:val="ListParagraph"/>
        <w:numPr>
          <w:ilvl w:val="0"/>
          <w:numId w:val="1"/>
        </w:numPr>
        <w:spacing w:after="0" w:line="0" w:lineRule="atLeast"/>
        <w:jc w:val="both"/>
        <w:rPr>
          <w:rFonts w:ascii="Times New Roman" w:hAnsi="Times New Roman" w:cs="Times New Roman"/>
          <w:color w:val="000000" w:themeColor="text1"/>
        </w:rPr>
      </w:pPr>
      <w:r w:rsidRPr="00271230">
        <w:rPr>
          <w:rFonts w:ascii="Times New Roman" w:hAnsi="Times New Roman" w:cs="Times New Roman"/>
          <w:color w:val="000000" w:themeColor="text1"/>
        </w:rPr>
        <w:t>Only interest on loans</w:t>
      </w:r>
      <w:r w:rsidR="00271230" w:rsidRPr="00271230">
        <w:rPr>
          <w:rFonts w:ascii="Times New Roman" w:hAnsi="Times New Roman" w:cs="Times New Roman"/>
          <w:color w:val="000000" w:themeColor="text1"/>
        </w:rPr>
        <w:t>,</w:t>
      </w:r>
      <w:r w:rsidRPr="00271230">
        <w:rPr>
          <w:rFonts w:ascii="Times New Roman" w:hAnsi="Times New Roman" w:cs="Times New Roman"/>
          <w:color w:val="000000" w:themeColor="text1"/>
        </w:rPr>
        <w:t xml:space="preserve"> that have a two percent (2%) interest rate for the first two (2) years, which is </w:t>
      </w:r>
      <w:r w:rsidR="00271230">
        <w:rPr>
          <w:rFonts w:ascii="Times New Roman" w:hAnsi="Times New Roman" w:cs="Times New Roman"/>
          <w:color w:val="000000" w:themeColor="text1"/>
        </w:rPr>
        <w:t xml:space="preserve">a part of the </w:t>
      </w:r>
      <w:r w:rsidRPr="00271230">
        <w:rPr>
          <w:rFonts w:ascii="Times New Roman" w:hAnsi="Times New Roman" w:cs="Times New Roman"/>
          <w:color w:val="000000" w:themeColor="text1"/>
        </w:rPr>
        <w:t>government</w:t>
      </w:r>
      <w:r w:rsidR="00271230">
        <w:rPr>
          <w:rFonts w:ascii="Times New Roman" w:hAnsi="Times New Roman" w:cs="Times New Roman"/>
          <w:color w:val="000000" w:themeColor="text1"/>
        </w:rPr>
        <w:t>’</w:t>
      </w:r>
      <w:r w:rsidRPr="00271230">
        <w:rPr>
          <w:rFonts w:ascii="Times New Roman" w:hAnsi="Times New Roman" w:cs="Times New Roman"/>
          <w:color w:val="000000" w:themeColor="text1"/>
        </w:rPr>
        <w:t>s program to aid SMEs with 150,000,000,000 Baht</w:t>
      </w:r>
      <w:r w:rsidR="00271230">
        <w:rPr>
          <w:rFonts w:ascii="Times New Roman" w:hAnsi="Times New Roman" w:cs="Times New Roman"/>
          <w:color w:val="000000" w:themeColor="text1"/>
        </w:rPr>
        <w:t xml:space="preserve"> is </w:t>
      </w:r>
      <w:r w:rsidRPr="00271230">
        <w:rPr>
          <w:rFonts w:ascii="Times New Roman" w:hAnsi="Times New Roman" w:cs="Times New Roman"/>
          <w:color w:val="000000" w:themeColor="text1"/>
        </w:rPr>
        <w:t>eligible for this tax treatment</w:t>
      </w:r>
      <w:r w:rsidR="00271230">
        <w:rPr>
          <w:rFonts w:ascii="Times New Roman" w:hAnsi="Times New Roman" w:cs="Times New Roman"/>
          <w:color w:val="000000" w:themeColor="text1"/>
        </w:rPr>
        <w:t>.</w:t>
      </w:r>
    </w:p>
    <w:p w14:paraId="7481B79E" w14:textId="77777777" w:rsidR="00271230" w:rsidRDefault="00271230" w:rsidP="00271230">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revenue of the tax year which ended on or prior to September 30, 2019 must have been 500,000,000 Baht or less;</w:t>
      </w:r>
    </w:p>
    <w:p w14:paraId="004DBCFE" w14:textId="77777777" w:rsidR="00271230" w:rsidRPr="006570CD" w:rsidRDefault="00271230" w:rsidP="00271230">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 number of employees for the tax year which ended on or prior to September 30, 2019 must have been 200 or less;</w:t>
      </w:r>
    </w:p>
    <w:p w14:paraId="6A2A6CE1" w14:textId="7787D17C" w:rsidR="00271230" w:rsidRDefault="00271230" w:rsidP="00A92793">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Interest incurred during April 1 to December 31, 2020 is eligible for this tax treatment; and,</w:t>
      </w:r>
    </w:p>
    <w:p w14:paraId="45B1FBB5" w14:textId="2FDC62A7" w:rsidR="00A92793" w:rsidRPr="00843678" w:rsidRDefault="00271230" w:rsidP="00A92793">
      <w:pPr>
        <w:pStyle w:val="ListParagraph"/>
        <w:numPr>
          <w:ilvl w:val="0"/>
          <w:numId w:val="1"/>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There is only one set of accounts.</w:t>
      </w:r>
    </w:p>
    <w:p w14:paraId="581238B4" w14:textId="77777777" w:rsidR="00A92793" w:rsidRPr="00843678" w:rsidRDefault="00A92793" w:rsidP="00A92793">
      <w:pPr>
        <w:spacing w:after="0" w:line="0" w:lineRule="atLeast"/>
        <w:jc w:val="both"/>
        <w:rPr>
          <w:rFonts w:ascii="Times New Roman" w:hAnsi="Times New Roman" w:cs="Times New Roman"/>
          <w:color w:val="000000" w:themeColor="text1"/>
        </w:rPr>
      </w:pPr>
    </w:p>
    <w:p w14:paraId="1E938A8E" w14:textId="133E6093" w:rsidR="00A92793" w:rsidRPr="00867EDB" w:rsidRDefault="00A92793" w:rsidP="00867EDB">
      <w:pPr>
        <w:spacing w:after="0" w:line="0" w:lineRule="atLeast"/>
        <w:jc w:val="both"/>
        <w:rPr>
          <w:rFonts w:ascii="Times New Roman" w:hAnsi="Times New Roman" w:cs="Times New Roman"/>
          <w:b/>
          <w:bCs/>
          <w:color w:val="000000" w:themeColor="text1"/>
          <w:u w:val="single"/>
        </w:rPr>
      </w:pPr>
    </w:p>
    <w:p w14:paraId="330269FB" w14:textId="1960D217" w:rsidR="00271230" w:rsidRPr="00843678" w:rsidRDefault="00867ED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Personal Income Tax - </w:t>
      </w:r>
      <w:r w:rsidR="00271230">
        <w:rPr>
          <w:rFonts w:ascii="Times New Roman" w:hAnsi="Times New Roman" w:cs="Times New Roman"/>
          <w:b/>
          <w:bCs/>
          <w:color w:val="000000" w:themeColor="text1"/>
          <w:u w:val="single"/>
        </w:rPr>
        <w:t>Allowance for health insurance premiums increased</w:t>
      </w:r>
    </w:p>
    <w:p w14:paraId="38598488" w14:textId="2717BE57" w:rsidR="00A92793" w:rsidRPr="00867EDB" w:rsidRDefault="00271230" w:rsidP="00867EDB">
      <w:pPr>
        <w:pStyle w:val="BodyText2"/>
      </w:pPr>
      <w:r w:rsidRPr="00867EDB">
        <w:t xml:space="preserve">If an individual taxpayer has paid qualifying health insurance premiums, he/she may use such payment amount as a tax deductible expense (an allowance) when calculating his/her personal income tax. Until now, the cap limit for taking such an allowance was 15,000 Baht. With the new COVID-19 measures, this amount has been increased to 25,000 Baht. </w:t>
      </w:r>
      <w:r w:rsidR="00867EDB" w:rsidRPr="00867EDB">
        <w:t>Note that if a taxpayer wishes to also take a deduction for life insurance payments as well, then the deduction amount may not exceed 100,000 Baht.</w:t>
      </w:r>
    </w:p>
    <w:p w14:paraId="40D936F4" w14:textId="06522FF5" w:rsidR="00867EDB" w:rsidRPr="00843678" w:rsidRDefault="002D7D0A" w:rsidP="00867EDB">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(Source</w:t>
      </w:r>
      <w:r w:rsidR="00867EDB">
        <w:rPr>
          <w:rFonts w:ascii="Times New Roman" w:hAnsi="Times New Roman" w:cs="Times New Roman"/>
          <w:color w:val="000000" w:themeColor="text1"/>
        </w:rPr>
        <w:t xml:space="preserve">: </w:t>
      </w:r>
      <w:hyperlink r:id="rId15" w:history="1">
        <w:r w:rsidR="00867EDB" w:rsidRPr="00843678">
          <w:rPr>
            <w:rStyle w:val="Hyperlink"/>
            <w:rFonts w:ascii="Times New Roman" w:hAnsi="Times New Roman" w:cs="Times New Roman"/>
            <w:color w:val="000000" w:themeColor="text1"/>
          </w:rPr>
          <w:t>Por Chor 22/2563 (24 March 2020)</w:t>
        </w:r>
      </w:hyperlink>
      <w:r>
        <w:rPr>
          <w:rStyle w:val="Hyperlink"/>
          <w:rFonts w:ascii="Times New Roman" w:hAnsi="Times New Roman" w:cs="Times New Roman"/>
          <w:color w:val="000000" w:themeColor="text1"/>
        </w:rPr>
        <w:t>)</w:t>
      </w:r>
    </w:p>
    <w:p w14:paraId="5D3E37DC" w14:textId="3EC350A7" w:rsidR="00A92793" w:rsidRDefault="00A92793" w:rsidP="00A92793">
      <w:pPr>
        <w:spacing w:after="0" w:line="0" w:lineRule="atLeast"/>
        <w:jc w:val="both"/>
        <w:rPr>
          <w:rFonts w:ascii="Times New Roman" w:hAnsi="Times New Roman" w:cs="Times New Roman"/>
          <w:b/>
          <w:bCs/>
          <w:color w:val="000000" w:themeColor="text1"/>
          <w:u w:val="single"/>
        </w:rPr>
      </w:pPr>
    </w:p>
    <w:p w14:paraId="74CA6277" w14:textId="77777777" w:rsidR="006D78A7" w:rsidRPr="00843678" w:rsidRDefault="006D78A7" w:rsidP="00A92793">
      <w:pPr>
        <w:spacing w:after="0" w:line="0" w:lineRule="atLeast"/>
        <w:jc w:val="both"/>
        <w:rPr>
          <w:rFonts w:ascii="Times New Roman" w:hAnsi="Times New Roman" w:cs="Times New Roman"/>
          <w:b/>
          <w:bCs/>
          <w:color w:val="000000" w:themeColor="text1"/>
          <w:u w:val="single"/>
        </w:rPr>
      </w:pPr>
    </w:p>
    <w:p w14:paraId="5D0299F5" w14:textId="3E35470B" w:rsidR="00867EDB" w:rsidRPr="00843678" w:rsidRDefault="00867EDB"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Personal Income Tax – Additional 200,000 Baht </w:t>
      </w:r>
      <w:r w:rsidR="001C0BE0">
        <w:rPr>
          <w:rFonts w:ascii="Times New Roman" w:hAnsi="Times New Roman" w:cs="Times New Roman"/>
          <w:b/>
          <w:bCs/>
          <w:color w:val="000000" w:themeColor="text1"/>
          <w:u w:val="single"/>
        </w:rPr>
        <w:t xml:space="preserve">allowance </w:t>
      </w:r>
      <w:r>
        <w:rPr>
          <w:rFonts w:ascii="Times New Roman" w:hAnsi="Times New Roman" w:cs="Times New Roman"/>
          <w:b/>
          <w:bCs/>
          <w:color w:val="000000" w:themeColor="text1"/>
          <w:u w:val="single"/>
        </w:rPr>
        <w:t>for Super Savings Fund</w:t>
      </w:r>
      <w:r w:rsidR="001C0BE0">
        <w:rPr>
          <w:rFonts w:ascii="Times New Roman" w:hAnsi="Times New Roman" w:cs="Times New Roman"/>
          <w:b/>
          <w:bCs/>
          <w:color w:val="000000" w:themeColor="text1"/>
          <w:u w:val="single"/>
        </w:rPr>
        <w:t>s</w:t>
      </w:r>
    </w:p>
    <w:p w14:paraId="09374BDB" w14:textId="4A56A231" w:rsidR="00867EDB" w:rsidRDefault="006D78A7"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Until recently, </w:t>
      </w:r>
      <w:r w:rsidR="00867EDB">
        <w:rPr>
          <w:rFonts w:ascii="Times New Roman" w:hAnsi="Times New Roman" w:cs="Times New Roman"/>
          <w:color w:val="000000" w:themeColor="text1"/>
        </w:rPr>
        <w:t xml:space="preserve">investment amounts into </w:t>
      </w:r>
      <w:r>
        <w:rPr>
          <w:rFonts w:ascii="Times New Roman" w:hAnsi="Times New Roman" w:cs="Times New Roman"/>
          <w:color w:val="000000" w:themeColor="text1"/>
        </w:rPr>
        <w:t xml:space="preserve">qualifying </w:t>
      </w:r>
      <w:r w:rsidR="00867EDB">
        <w:rPr>
          <w:rFonts w:ascii="Times New Roman" w:hAnsi="Times New Roman" w:cs="Times New Roman"/>
          <w:color w:val="000000" w:themeColor="text1"/>
        </w:rPr>
        <w:t>Super Savings Funds (“SSF</w:t>
      </w:r>
      <w:r w:rsidR="001C0BE0">
        <w:rPr>
          <w:rFonts w:ascii="Times New Roman" w:hAnsi="Times New Roman" w:cs="Times New Roman"/>
          <w:color w:val="000000" w:themeColor="text1"/>
        </w:rPr>
        <w:t>s</w:t>
      </w:r>
      <w:r w:rsidR="00867EDB">
        <w:rPr>
          <w:rFonts w:ascii="Times New Roman" w:hAnsi="Times New Roman" w:cs="Times New Roman"/>
          <w:color w:val="000000" w:themeColor="text1"/>
        </w:rPr>
        <w:t>”) could be used as a deduction when calculating personal income tax. The deduction was limited to 30% of gross income, or 200,000 Baht, whichever was lower. With the new tax measure</w:t>
      </w:r>
      <w:r>
        <w:rPr>
          <w:rFonts w:ascii="Times New Roman" w:hAnsi="Times New Roman" w:cs="Times New Roman"/>
          <w:color w:val="000000" w:themeColor="text1"/>
        </w:rPr>
        <w:t>, the maximum deduction amount was increased by another 200,000 Baht, bringing the total deductible cap amount to 400,000 Baht. To take such deduction, the following conditions must have been met.</w:t>
      </w:r>
    </w:p>
    <w:p w14:paraId="34825069" w14:textId="77777777" w:rsidR="006D78A7" w:rsidRDefault="006D78A7" w:rsidP="00A92793">
      <w:pPr>
        <w:spacing w:after="0" w:line="0" w:lineRule="atLeast"/>
        <w:jc w:val="both"/>
        <w:rPr>
          <w:rFonts w:ascii="Times New Roman" w:hAnsi="Times New Roman" w:cs="Times New Roman"/>
          <w:color w:val="000000" w:themeColor="text1"/>
        </w:rPr>
      </w:pPr>
    </w:p>
    <w:p w14:paraId="762FDB7E" w14:textId="78990A10" w:rsidR="006D78A7" w:rsidRPr="00843678" w:rsidRDefault="006D78A7" w:rsidP="00A92793">
      <w:pPr>
        <w:pStyle w:val="ListParagraph"/>
        <w:numPr>
          <w:ilvl w:val="0"/>
          <w:numId w:val="3"/>
        </w:num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65% or more of the assets of the SSF</w:t>
      </w:r>
      <w:r w:rsidR="001C0BE0">
        <w:rPr>
          <w:rFonts w:ascii="Times New Roman" w:hAnsi="Times New Roman" w:cs="Times New Roman"/>
          <w:color w:val="000000" w:themeColor="text1"/>
        </w:rPr>
        <w:t>s</w:t>
      </w:r>
      <w:r>
        <w:rPr>
          <w:rFonts w:ascii="Times New Roman" w:hAnsi="Times New Roman" w:cs="Times New Roman"/>
          <w:color w:val="000000" w:themeColor="text1"/>
        </w:rPr>
        <w:t xml:space="preserve"> must be invested in stock traded on Stock Exchange of Thailand during April 1, 2020 to June 30, 2020; and,</w:t>
      </w:r>
    </w:p>
    <w:p w14:paraId="3DBD07B5" w14:textId="222406F8" w:rsidR="006D78A7" w:rsidRDefault="006D78A7" w:rsidP="00A92793">
      <w:pPr>
        <w:pStyle w:val="ListParagraph"/>
        <w:numPr>
          <w:ilvl w:val="0"/>
          <w:numId w:val="3"/>
        </w:numPr>
        <w:spacing w:after="0" w:line="0" w:lineRule="atLeas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he investment into the S</w:t>
      </w:r>
      <w:r w:rsidR="00A92793" w:rsidRPr="00843678">
        <w:rPr>
          <w:rFonts w:ascii="Times New Roman" w:hAnsi="Times New Roman" w:cs="Times New Roman"/>
          <w:color w:val="000000" w:themeColor="text1"/>
        </w:rPr>
        <w:t>SF</w:t>
      </w:r>
      <w:r w:rsidR="001C0BE0">
        <w:rPr>
          <w:rFonts w:ascii="Times New Roman" w:hAnsi="Times New Roman" w:cs="Times New Roman"/>
          <w:color w:val="000000" w:themeColor="text1"/>
        </w:rPr>
        <w:t>s</w:t>
      </w:r>
      <w:r>
        <w:rPr>
          <w:rFonts w:ascii="Times New Roman" w:hAnsi="Times New Roman" w:cs="Times New Roman"/>
          <w:color w:val="000000" w:themeColor="text1"/>
        </w:rPr>
        <w:t xml:space="preserve"> must be for at least 10 years.</w:t>
      </w:r>
    </w:p>
    <w:p w14:paraId="7C64E470" w14:textId="7F26ED8B" w:rsidR="00A92793" w:rsidRPr="006D78A7" w:rsidRDefault="00A92793" w:rsidP="006D78A7">
      <w:pPr>
        <w:spacing w:after="0" w:line="0" w:lineRule="atLeast"/>
        <w:ind w:left="360"/>
        <w:jc w:val="both"/>
        <w:rPr>
          <w:rFonts w:ascii="Times New Roman" w:hAnsi="Times New Roman" w:cs="Times New Roman"/>
          <w:color w:val="000000" w:themeColor="text1"/>
        </w:rPr>
      </w:pPr>
    </w:p>
    <w:p w14:paraId="3BA904C1" w14:textId="3D3472CC" w:rsidR="00A92793" w:rsidRPr="001C0BE0" w:rsidRDefault="00A92793" w:rsidP="001C0BE0">
      <w:pPr>
        <w:spacing w:after="0" w:line="0" w:lineRule="atLeast"/>
        <w:jc w:val="both"/>
        <w:rPr>
          <w:rFonts w:ascii="Times New Roman" w:hAnsi="Times New Roman" w:cs="Times New Roman"/>
          <w:b/>
          <w:bCs/>
          <w:color w:val="000000" w:themeColor="text1"/>
          <w:u w:val="single"/>
        </w:rPr>
      </w:pPr>
    </w:p>
    <w:p w14:paraId="29745FC4" w14:textId="18730914" w:rsidR="001C0BE0" w:rsidRPr="00843678" w:rsidRDefault="001C0BE0" w:rsidP="00A92793">
      <w:pPr>
        <w:pStyle w:val="ListParagraph"/>
        <w:numPr>
          <w:ilvl w:val="0"/>
          <w:numId w:val="5"/>
        </w:numPr>
        <w:spacing w:after="0" w:line="0" w:lineRule="atLeast"/>
        <w:ind w:left="36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Allowance for COVID-19 related donations (Individuals and companies)</w:t>
      </w:r>
    </w:p>
    <w:p w14:paraId="43CFE447" w14:textId="03BAF3BA" w:rsidR="001C0BE0" w:rsidRDefault="001C0BE0" w:rsidP="00A92793">
      <w:pPr>
        <w:spacing w:after="0" w:line="0" w:lineRule="atLeast"/>
        <w:jc w:val="both"/>
        <w:rPr>
          <w:rFonts w:ascii="Times New Roman" w:hAnsi="Times New Roman" w:cs="Times New Roman"/>
          <w:color w:val="000000" w:themeColor="text1"/>
        </w:rPr>
      </w:pPr>
      <w:r>
        <w:rPr>
          <w:rFonts w:ascii="Times New Roman" w:hAnsi="Times New Roman" w:cs="Times New Roman"/>
          <w:color w:val="000000" w:themeColor="text1"/>
        </w:rPr>
        <w:t>Natural persons and juristic persons that have made donations through the Revenue Department’s “e-Donation System” during the period of March 5</w:t>
      </w:r>
      <w:r w:rsidR="00B91FBE" w:rsidRPr="00B91FBE">
        <w:rPr>
          <w:rFonts w:ascii="Times New Roman" w:hAnsi="Times New Roman" w:cs="Times New Roman"/>
          <w:color w:val="000000" w:themeColor="text1"/>
          <w:vertAlign w:val="superscript"/>
        </w:rPr>
        <w:t>th</w:t>
      </w:r>
      <w:r>
        <w:rPr>
          <w:rFonts w:ascii="Times New Roman" w:hAnsi="Times New Roman" w:cs="Times New Roman"/>
          <w:color w:val="000000" w:themeColor="text1"/>
        </w:rPr>
        <w:t>, 2020 to March 5</w:t>
      </w:r>
      <w:r w:rsidRPr="001C0BE0">
        <w:rPr>
          <w:rFonts w:ascii="Times New Roman" w:hAnsi="Times New Roman" w:cs="Times New Roman"/>
          <w:color w:val="000000" w:themeColor="text1"/>
          <w:vertAlign w:val="superscript"/>
        </w:rPr>
        <w:t>th</w:t>
      </w:r>
      <w:r>
        <w:rPr>
          <w:rFonts w:ascii="Times New Roman" w:hAnsi="Times New Roman" w:cs="Times New Roman"/>
          <w:color w:val="000000" w:themeColor="text1"/>
        </w:rPr>
        <w:t>, 2021</w:t>
      </w:r>
      <w:r w:rsidR="00B91FBE">
        <w:rPr>
          <w:rFonts w:ascii="Times New Roman" w:hAnsi="Times New Roman" w:cs="Times New Roman"/>
          <w:color w:val="000000" w:themeColor="text1"/>
        </w:rPr>
        <w:t xml:space="preserve"> in support of anti COVID-19 measures will be able to use such donation amounts as an allowance, subject to cap limits, when calculating their income tax. Further VAT will be exempted for VAT operators who have donated assets.</w:t>
      </w:r>
    </w:p>
    <w:p w14:paraId="6A08BDAD" w14:textId="7211DD93" w:rsidR="00FC775A" w:rsidRPr="00843678" w:rsidRDefault="00FC775A" w:rsidP="00FC775A">
      <w:pPr>
        <w:spacing w:after="0" w:line="0" w:lineRule="atLeast"/>
        <w:jc w:val="both"/>
        <w:rPr>
          <w:rFonts w:ascii="Times New Roman" w:hAnsi="Times New Roman" w:cs="Times New Roman"/>
          <w:color w:val="000000" w:themeColor="text1"/>
        </w:rPr>
      </w:pPr>
    </w:p>
    <w:p w14:paraId="7353CA18" w14:textId="5AE60DDD" w:rsidR="00FC775A" w:rsidRPr="00843678" w:rsidRDefault="00FC775A" w:rsidP="00FC775A">
      <w:pPr>
        <w:spacing w:after="0" w:line="0" w:lineRule="atLeast"/>
        <w:jc w:val="both"/>
        <w:rPr>
          <w:rFonts w:ascii="Times New Roman" w:hAnsi="Times New Roman" w:cs="Times New Roman"/>
          <w:color w:val="000000" w:themeColor="text1"/>
        </w:rPr>
      </w:pPr>
    </w:p>
    <w:p w14:paraId="7403CDBE" w14:textId="713BCAE6" w:rsidR="00081FF2" w:rsidRPr="00843678" w:rsidRDefault="00081FF2" w:rsidP="00FC775A">
      <w:pPr>
        <w:spacing w:after="0" w:line="0" w:lineRule="atLeast"/>
        <w:jc w:val="both"/>
        <w:rPr>
          <w:rFonts w:ascii="Times New Roman" w:hAnsi="Times New Roman" w:cs="Times New Roman"/>
          <w:color w:val="000000" w:themeColor="text1"/>
        </w:rPr>
      </w:pPr>
      <w:r w:rsidRPr="00843678">
        <w:rPr>
          <w:rFonts w:ascii="Times New Roman" w:hAnsi="Times New Roman" w:cs="Times New Roman"/>
          <w:color w:val="000000" w:themeColor="text1"/>
        </w:rPr>
        <w:t>NNP Advisory Ltd.</w:t>
      </w:r>
    </w:p>
    <w:p w14:paraId="46AEC8BA" w14:textId="1A3937D7" w:rsidR="00FC775A" w:rsidRPr="00843678" w:rsidRDefault="002D7D0A" w:rsidP="00FC775A">
      <w:pPr>
        <w:spacing w:after="0" w:line="0" w:lineRule="atLeast"/>
        <w:jc w:val="both"/>
        <w:rPr>
          <w:rFonts w:ascii="Times New Roman" w:hAnsi="Times New Roman" w:cs="Times New Roman"/>
          <w:color w:val="000000" w:themeColor="text1"/>
        </w:rPr>
      </w:pPr>
      <w:hyperlink r:id="rId16" w:history="1">
        <w:r w:rsidR="00081FF2" w:rsidRPr="00843678">
          <w:rPr>
            <w:rStyle w:val="Hyperlink"/>
            <w:rFonts w:ascii="Times New Roman" w:hAnsi="Times New Roman" w:cs="Times New Roman"/>
          </w:rPr>
          <w:t>mits@nnp-group.com</w:t>
        </w:r>
      </w:hyperlink>
    </w:p>
    <w:p w14:paraId="6D4FF372" w14:textId="2F3B40BF" w:rsidR="00487450" w:rsidRPr="00843678" w:rsidRDefault="00487450" w:rsidP="00487450">
      <w:pPr>
        <w:spacing w:after="0" w:line="0" w:lineRule="atLeast"/>
        <w:jc w:val="right"/>
        <w:rPr>
          <w:rFonts w:ascii="Times New Roman" w:hAnsi="Times New Roman" w:cs="Times New Roman"/>
          <w:color w:val="000000" w:themeColor="text1"/>
        </w:rPr>
      </w:pPr>
    </w:p>
    <w:p w14:paraId="3FA7C2F2" w14:textId="77777777" w:rsidR="00FD70F9" w:rsidRDefault="00FD70F9" w:rsidP="00FC775A">
      <w:pPr>
        <w:spacing w:after="0" w:line="0" w:lineRule="atLeast"/>
        <w:jc w:val="center"/>
        <w:rPr>
          <w:rFonts w:ascii="Times New Roman" w:hAnsi="Times New Roman" w:cs="Times New Roman"/>
          <w:b/>
          <w:bCs/>
          <w:color w:val="000000" w:themeColor="text1"/>
        </w:rPr>
      </w:pPr>
    </w:p>
    <w:p w14:paraId="34F82725" w14:textId="26F6720E" w:rsidR="002E7DE1" w:rsidRPr="00843678" w:rsidRDefault="00FC775A" w:rsidP="00FD70F9">
      <w:pPr>
        <w:spacing w:after="0" w:line="0" w:lineRule="atLeast"/>
        <w:jc w:val="center"/>
        <w:rPr>
          <w:rFonts w:ascii="Times New Roman" w:hAnsi="Times New Roman" w:cs="Times New Roman"/>
          <w:b/>
          <w:bCs/>
          <w:color w:val="000000" w:themeColor="text1"/>
        </w:rPr>
      </w:pPr>
      <w:r w:rsidRPr="00843678">
        <w:rPr>
          <w:rFonts w:ascii="Times New Roman" w:hAnsi="Times New Roman" w:cs="Times New Roman"/>
          <w:b/>
          <w:bCs/>
          <w:color w:val="000000" w:themeColor="text1"/>
        </w:rPr>
        <w:t>******************</w:t>
      </w:r>
    </w:p>
    <w:sectPr w:rsidR="002E7DE1" w:rsidRPr="00843678" w:rsidSect="00475FBA">
      <w:headerReference w:type="default" r:id="rId17"/>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AEF8" w14:textId="77777777" w:rsidR="005A5AB0" w:rsidRDefault="005A5AB0" w:rsidP="007C3B16">
      <w:pPr>
        <w:spacing w:after="0" w:line="240" w:lineRule="auto"/>
      </w:pPr>
      <w:r>
        <w:separator/>
      </w:r>
    </w:p>
  </w:endnote>
  <w:endnote w:type="continuationSeparator" w:id="0">
    <w:p w14:paraId="031DD2CA" w14:textId="77777777" w:rsidR="005A5AB0" w:rsidRDefault="005A5AB0" w:rsidP="007C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B142" w14:textId="77777777" w:rsidR="006D78A7" w:rsidRPr="007C3B16" w:rsidRDefault="006D78A7" w:rsidP="007C3B16">
    <w:pPr>
      <w:pStyle w:val="Footer"/>
      <w:jc w:val="right"/>
      <w:rPr>
        <w:rFonts w:ascii="Times New Roman" w:hAnsi="Times New Roman" w:cs="Times New Roman"/>
        <w:color w:val="000000" w:themeColor="text1"/>
        <w:sz w:val="18"/>
        <w:szCs w:val="18"/>
      </w:rPr>
    </w:pPr>
    <w:r w:rsidRPr="007C3B16">
      <w:rPr>
        <w:rFonts w:ascii="Times New Roman" w:hAnsi="Times New Roman" w:cs="Times New Roman"/>
        <w:color w:val="000000" w:themeColor="text1"/>
        <w:sz w:val="18"/>
        <w:szCs w:val="18"/>
      </w:rPr>
      <w:t xml:space="preserve">Page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PAGE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r w:rsidRPr="007C3B16">
      <w:rPr>
        <w:rFonts w:ascii="Times New Roman" w:hAnsi="Times New Roman" w:cs="Times New Roman"/>
        <w:color w:val="000000" w:themeColor="text1"/>
        <w:sz w:val="18"/>
        <w:szCs w:val="18"/>
      </w:rPr>
      <w:t xml:space="preserve"> of </w:t>
    </w:r>
    <w:r w:rsidRPr="007C3B16">
      <w:rPr>
        <w:rFonts w:ascii="Times New Roman" w:hAnsi="Times New Roman" w:cs="Times New Roman"/>
        <w:color w:val="000000" w:themeColor="text1"/>
        <w:sz w:val="18"/>
        <w:szCs w:val="18"/>
      </w:rPr>
      <w:fldChar w:fldCharType="begin"/>
    </w:r>
    <w:r w:rsidRPr="007C3B16">
      <w:rPr>
        <w:rFonts w:ascii="Times New Roman" w:hAnsi="Times New Roman" w:cs="Times New Roman"/>
        <w:color w:val="000000" w:themeColor="text1"/>
        <w:sz w:val="18"/>
        <w:szCs w:val="18"/>
      </w:rPr>
      <w:instrText xml:space="preserve"> NUMPAGES  \* Arabic  \* MERGEFORMAT </w:instrText>
    </w:r>
    <w:r w:rsidRPr="007C3B16">
      <w:rPr>
        <w:rFonts w:ascii="Times New Roman" w:hAnsi="Times New Roman" w:cs="Times New Roman"/>
        <w:color w:val="000000" w:themeColor="text1"/>
        <w:sz w:val="18"/>
        <w:szCs w:val="18"/>
      </w:rPr>
      <w:fldChar w:fldCharType="separate"/>
    </w:r>
    <w:r w:rsidRPr="007C3B16">
      <w:rPr>
        <w:rFonts w:ascii="Times New Roman" w:hAnsi="Times New Roman" w:cs="Times New Roman"/>
        <w:noProof/>
        <w:color w:val="000000" w:themeColor="text1"/>
        <w:sz w:val="18"/>
        <w:szCs w:val="18"/>
      </w:rPr>
      <w:t>2</w:t>
    </w:r>
    <w:r w:rsidRPr="007C3B16">
      <w:rPr>
        <w:rFonts w:ascii="Times New Roman" w:hAnsi="Times New Roman" w:cs="Times New Roman"/>
        <w:color w:val="000000" w:themeColor="text1"/>
        <w:sz w:val="18"/>
        <w:szCs w:val="18"/>
      </w:rPr>
      <w:fldChar w:fldCharType="end"/>
    </w:r>
  </w:p>
  <w:p w14:paraId="46410841" w14:textId="77777777" w:rsidR="006D78A7" w:rsidRDefault="006D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1715" w14:textId="77777777" w:rsidR="005A5AB0" w:rsidRDefault="005A5AB0" w:rsidP="007C3B16">
      <w:pPr>
        <w:spacing w:after="0" w:line="240" w:lineRule="auto"/>
      </w:pPr>
      <w:r>
        <w:separator/>
      </w:r>
    </w:p>
  </w:footnote>
  <w:footnote w:type="continuationSeparator" w:id="0">
    <w:p w14:paraId="31A34B7B" w14:textId="77777777" w:rsidR="005A5AB0" w:rsidRDefault="005A5AB0" w:rsidP="007C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4497" w14:textId="2E0E915F" w:rsidR="006D78A7" w:rsidRPr="005036DE" w:rsidRDefault="006D78A7" w:rsidP="005036DE">
    <w:pPr>
      <w:pStyle w:val="Header"/>
      <w:jc w:val="right"/>
      <w:rPr>
        <w:sz w:val="18"/>
        <w:szCs w:val="18"/>
      </w:rPr>
    </w:pPr>
    <w:r w:rsidRPr="005036DE">
      <w:rPr>
        <w:sz w:val="18"/>
        <w:szCs w:val="18"/>
      </w:rPr>
      <w:t>NNP Advisory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76E"/>
    <w:multiLevelType w:val="hybridMultilevel"/>
    <w:tmpl w:val="A56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CF"/>
    <w:multiLevelType w:val="hybridMultilevel"/>
    <w:tmpl w:val="5CCA41E8"/>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DAB"/>
    <w:multiLevelType w:val="multilevel"/>
    <w:tmpl w:val="35E6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B36BB"/>
    <w:multiLevelType w:val="hybridMultilevel"/>
    <w:tmpl w:val="CBF4D6DE"/>
    <w:lvl w:ilvl="0" w:tplc="D16CAB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4902E4"/>
    <w:multiLevelType w:val="hybridMultilevel"/>
    <w:tmpl w:val="BA362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9E7881"/>
    <w:multiLevelType w:val="hybridMultilevel"/>
    <w:tmpl w:val="1542DB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2384A"/>
    <w:multiLevelType w:val="hybridMultilevel"/>
    <w:tmpl w:val="48BEFF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0B1B8A"/>
    <w:multiLevelType w:val="hybridMultilevel"/>
    <w:tmpl w:val="56D21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470B"/>
    <w:multiLevelType w:val="hybridMultilevel"/>
    <w:tmpl w:val="88245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156A5"/>
    <w:multiLevelType w:val="hybridMultilevel"/>
    <w:tmpl w:val="6B7C0EA4"/>
    <w:lvl w:ilvl="0" w:tplc="D16CA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77005"/>
    <w:multiLevelType w:val="hybridMultilevel"/>
    <w:tmpl w:val="51B4EC0E"/>
    <w:lvl w:ilvl="0" w:tplc="88440C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B1FA5"/>
    <w:multiLevelType w:val="hybridMultilevel"/>
    <w:tmpl w:val="44C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D7A4D"/>
    <w:multiLevelType w:val="hybridMultilevel"/>
    <w:tmpl w:val="41C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06696"/>
    <w:multiLevelType w:val="hybridMultilevel"/>
    <w:tmpl w:val="9F6A3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F232A2"/>
    <w:multiLevelType w:val="hybridMultilevel"/>
    <w:tmpl w:val="5D58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40CFB"/>
    <w:multiLevelType w:val="hybridMultilevel"/>
    <w:tmpl w:val="3078B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F315E5"/>
    <w:multiLevelType w:val="hybridMultilevel"/>
    <w:tmpl w:val="72EE7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16"/>
  </w:num>
  <w:num w:numId="6">
    <w:abstractNumId w:val="10"/>
  </w:num>
  <w:num w:numId="7">
    <w:abstractNumId w:val="12"/>
  </w:num>
  <w:num w:numId="8">
    <w:abstractNumId w:val="11"/>
  </w:num>
  <w:num w:numId="9">
    <w:abstractNumId w:val="13"/>
  </w:num>
  <w:num w:numId="10">
    <w:abstractNumId w:val="5"/>
  </w:num>
  <w:num w:numId="11">
    <w:abstractNumId w:val="15"/>
  </w:num>
  <w:num w:numId="12">
    <w:abstractNumId w:val="4"/>
  </w:num>
  <w:num w:numId="13">
    <w:abstractNumId w:val="9"/>
  </w:num>
  <w:num w:numId="14">
    <w:abstractNumId w:val="6"/>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E2"/>
    <w:rsid w:val="00001B67"/>
    <w:rsid w:val="0000526A"/>
    <w:rsid w:val="00021C6D"/>
    <w:rsid w:val="000278E7"/>
    <w:rsid w:val="00030660"/>
    <w:rsid w:val="0003691A"/>
    <w:rsid w:val="00036A1B"/>
    <w:rsid w:val="0005088E"/>
    <w:rsid w:val="00052539"/>
    <w:rsid w:val="0005563F"/>
    <w:rsid w:val="00066842"/>
    <w:rsid w:val="00081FF2"/>
    <w:rsid w:val="0008472C"/>
    <w:rsid w:val="0009251C"/>
    <w:rsid w:val="00095384"/>
    <w:rsid w:val="000970C6"/>
    <w:rsid w:val="000C5689"/>
    <w:rsid w:val="000D1C65"/>
    <w:rsid w:val="000E2D70"/>
    <w:rsid w:val="000E3530"/>
    <w:rsid w:val="000E4FD2"/>
    <w:rsid w:val="000F462D"/>
    <w:rsid w:val="001040AD"/>
    <w:rsid w:val="00125975"/>
    <w:rsid w:val="0012627C"/>
    <w:rsid w:val="00130583"/>
    <w:rsid w:val="00147F4C"/>
    <w:rsid w:val="0016300D"/>
    <w:rsid w:val="00170CA2"/>
    <w:rsid w:val="001729D4"/>
    <w:rsid w:val="001A34D6"/>
    <w:rsid w:val="001A4D16"/>
    <w:rsid w:val="001C0BE0"/>
    <w:rsid w:val="001C6074"/>
    <w:rsid w:val="001C69CC"/>
    <w:rsid w:val="001E6E8B"/>
    <w:rsid w:val="001F0D2E"/>
    <w:rsid w:val="0021352B"/>
    <w:rsid w:val="00236045"/>
    <w:rsid w:val="002430DC"/>
    <w:rsid w:val="002473EE"/>
    <w:rsid w:val="00250345"/>
    <w:rsid w:val="00254499"/>
    <w:rsid w:val="002578FD"/>
    <w:rsid w:val="00262656"/>
    <w:rsid w:val="00262A3B"/>
    <w:rsid w:val="00263CAF"/>
    <w:rsid w:val="00266468"/>
    <w:rsid w:val="00271230"/>
    <w:rsid w:val="002714DA"/>
    <w:rsid w:val="00277FC2"/>
    <w:rsid w:val="002820A0"/>
    <w:rsid w:val="002B5C13"/>
    <w:rsid w:val="002C2A9F"/>
    <w:rsid w:val="002C74ED"/>
    <w:rsid w:val="002D7D0A"/>
    <w:rsid w:val="002E7DE1"/>
    <w:rsid w:val="002F41A8"/>
    <w:rsid w:val="002F4601"/>
    <w:rsid w:val="00317FCB"/>
    <w:rsid w:val="003277A5"/>
    <w:rsid w:val="003314C6"/>
    <w:rsid w:val="003479CE"/>
    <w:rsid w:val="00347ADD"/>
    <w:rsid w:val="003876B1"/>
    <w:rsid w:val="0039089B"/>
    <w:rsid w:val="00391032"/>
    <w:rsid w:val="00393110"/>
    <w:rsid w:val="003A6F96"/>
    <w:rsid w:val="003B60EE"/>
    <w:rsid w:val="003E7A2B"/>
    <w:rsid w:val="003F14F2"/>
    <w:rsid w:val="003F1C17"/>
    <w:rsid w:val="003F3D45"/>
    <w:rsid w:val="003F66F4"/>
    <w:rsid w:val="004072A9"/>
    <w:rsid w:val="00423183"/>
    <w:rsid w:val="00435CF9"/>
    <w:rsid w:val="00441919"/>
    <w:rsid w:val="0044446A"/>
    <w:rsid w:val="0045544B"/>
    <w:rsid w:val="00461FDB"/>
    <w:rsid w:val="00475FBA"/>
    <w:rsid w:val="0048068B"/>
    <w:rsid w:val="00480CDC"/>
    <w:rsid w:val="004854D7"/>
    <w:rsid w:val="00487450"/>
    <w:rsid w:val="00497DA2"/>
    <w:rsid w:val="004A06EC"/>
    <w:rsid w:val="004A12F0"/>
    <w:rsid w:val="004A52BD"/>
    <w:rsid w:val="004B02F0"/>
    <w:rsid w:val="00501361"/>
    <w:rsid w:val="005036DE"/>
    <w:rsid w:val="00504588"/>
    <w:rsid w:val="00537FEC"/>
    <w:rsid w:val="005409F7"/>
    <w:rsid w:val="00544D73"/>
    <w:rsid w:val="00547F2C"/>
    <w:rsid w:val="00564F08"/>
    <w:rsid w:val="00570ADE"/>
    <w:rsid w:val="0057434A"/>
    <w:rsid w:val="00591CE4"/>
    <w:rsid w:val="0059363B"/>
    <w:rsid w:val="00593E55"/>
    <w:rsid w:val="00597106"/>
    <w:rsid w:val="005A5AB0"/>
    <w:rsid w:val="005B5376"/>
    <w:rsid w:val="005B5BA4"/>
    <w:rsid w:val="005D4A72"/>
    <w:rsid w:val="005D565B"/>
    <w:rsid w:val="005F285A"/>
    <w:rsid w:val="005F5761"/>
    <w:rsid w:val="005F77CD"/>
    <w:rsid w:val="0060332E"/>
    <w:rsid w:val="00606F95"/>
    <w:rsid w:val="00611AB4"/>
    <w:rsid w:val="00637B51"/>
    <w:rsid w:val="00646656"/>
    <w:rsid w:val="00647230"/>
    <w:rsid w:val="006570CD"/>
    <w:rsid w:val="0066403B"/>
    <w:rsid w:val="006849B2"/>
    <w:rsid w:val="006926CC"/>
    <w:rsid w:val="00695459"/>
    <w:rsid w:val="006D2FAE"/>
    <w:rsid w:val="006D78A7"/>
    <w:rsid w:val="006D7BA3"/>
    <w:rsid w:val="006F2407"/>
    <w:rsid w:val="006F561D"/>
    <w:rsid w:val="006F5C7A"/>
    <w:rsid w:val="00713764"/>
    <w:rsid w:val="00730B99"/>
    <w:rsid w:val="00746B07"/>
    <w:rsid w:val="007532FB"/>
    <w:rsid w:val="00761858"/>
    <w:rsid w:val="007635D9"/>
    <w:rsid w:val="00765EB7"/>
    <w:rsid w:val="00771938"/>
    <w:rsid w:val="00775BCD"/>
    <w:rsid w:val="00785486"/>
    <w:rsid w:val="00787DBD"/>
    <w:rsid w:val="00794CC4"/>
    <w:rsid w:val="007B7D3A"/>
    <w:rsid w:val="007B7FED"/>
    <w:rsid w:val="007C0D5A"/>
    <w:rsid w:val="007C3B16"/>
    <w:rsid w:val="007C7BD6"/>
    <w:rsid w:val="007D712A"/>
    <w:rsid w:val="007E7234"/>
    <w:rsid w:val="007F15F7"/>
    <w:rsid w:val="008039F7"/>
    <w:rsid w:val="008077ED"/>
    <w:rsid w:val="00811755"/>
    <w:rsid w:val="008238E1"/>
    <w:rsid w:val="008345B1"/>
    <w:rsid w:val="00836150"/>
    <w:rsid w:val="00843678"/>
    <w:rsid w:val="00861EDA"/>
    <w:rsid w:val="00867EDB"/>
    <w:rsid w:val="008824DD"/>
    <w:rsid w:val="00883099"/>
    <w:rsid w:val="008874FB"/>
    <w:rsid w:val="00887895"/>
    <w:rsid w:val="00890950"/>
    <w:rsid w:val="008915ED"/>
    <w:rsid w:val="00892C31"/>
    <w:rsid w:val="008B07B7"/>
    <w:rsid w:val="008C029D"/>
    <w:rsid w:val="008C1A5D"/>
    <w:rsid w:val="008C1EE9"/>
    <w:rsid w:val="008D2B53"/>
    <w:rsid w:val="008D6505"/>
    <w:rsid w:val="008D7AD9"/>
    <w:rsid w:val="008D7FA5"/>
    <w:rsid w:val="008E7E4D"/>
    <w:rsid w:val="008F64FA"/>
    <w:rsid w:val="008F7FCE"/>
    <w:rsid w:val="00906384"/>
    <w:rsid w:val="009102E8"/>
    <w:rsid w:val="00932B22"/>
    <w:rsid w:val="0095404C"/>
    <w:rsid w:val="009560C2"/>
    <w:rsid w:val="00966BFA"/>
    <w:rsid w:val="00970C09"/>
    <w:rsid w:val="00971127"/>
    <w:rsid w:val="00977027"/>
    <w:rsid w:val="00991954"/>
    <w:rsid w:val="0099567F"/>
    <w:rsid w:val="009B48B9"/>
    <w:rsid w:val="009B5A2D"/>
    <w:rsid w:val="009C0504"/>
    <w:rsid w:val="009D73CA"/>
    <w:rsid w:val="009D7D0C"/>
    <w:rsid w:val="009E6A87"/>
    <w:rsid w:val="00A03718"/>
    <w:rsid w:val="00A0712D"/>
    <w:rsid w:val="00A141F3"/>
    <w:rsid w:val="00A31703"/>
    <w:rsid w:val="00A40BBE"/>
    <w:rsid w:val="00A4368A"/>
    <w:rsid w:val="00A54BA3"/>
    <w:rsid w:val="00A63B9A"/>
    <w:rsid w:val="00A651C4"/>
    <w:rsid w:val="00A84733"/>
    <w:rsid w:val="00A859B6"/>
    <w:rsid w:val="00A87FFE"/>
    <w:rsid w:val="00A9197D"/>
    <w:rsid w:val="00A92793"/>
    <w:rsid w:val="00A97111"/>
    <w:rsid w:val="00AA1EFF"/>
    <w:rsid w:val="00AB08B8"/>
    <w:rsid w:val="00AB64ED"/>
    <w:rsid w:val="00AC16B8"/>
    <w:rsid w:val="00AC1CDB"/>
    <w:rsid w:val="00AC1FDD"/>
    <w:rsid w:val="00AC2167"/>
    <w:rsid w:val="00AE748B"/>
    <w:rsid w:val="00AE76EA"/>
    <w:rsid w:val="00AF09E6"/>
    <w:rsid w:val="00B13DE6"/>
    <w:rsid w:val="00B166A2"/>
    <w:rsid w:val="00B2041B"/>
    <w:rsid w:val="00B20EDB"/>
    <w:rsid w:val="00B62F59"/>
    <w:rsid w:val="00B66F9E"/>
    <w:rsid w:val="00B7083B"/>
    <w:rsid w:val="00B76191"/>
    <w:rsid w:val="00B76F24"/>
    <w:rsid w:val="00B87DD7"/>
    <w:rsid w:val="00B91FBE"/>
    <w:rsid w:val="00BB331E"/>
    <w:rsid w:val="00BB628A"/>
    <w:rsid w:val="00BE5AF7"/>
    <w:rsid w:val="00BE6522"/>
    <w:rsid w:val="00BE6C06"/>
    <w:rsid w:val="00BF52F7"/>
    <w:rsid w:val="00BF6967"/>
    <w:rsid w:val="00C027A7"/>
    <w:rsid w:val="00C0760C"/>
    <w:rsid w:val="00C35212"/>
    <w:rsid w:val="00C37826"/>
    <w:rsid w:val="00C641A5"/>
    <w:rsid w:val="00C66528"/>
    <w:rsid w:val="00C700E2"/>
    <w:rsid w:val="00C8057A"/>
    <w:rsid w:val="00CA076D"/>
    <w:rsid w:val="00CA1842"/>
    <w:rsid w:val="00CA49D9"/>
    <w:rsid w:val="00CC7377"/>
    <w:rsid w:val="00CC760F"/>
    <w:rsid w:val="00CD0682"/>
    <w:rsid w:val="00CD4683"/>
    <w:rsid w:val="00CD60AB"/>
    <w:rsid w:val="00CE36C0"/>
    <w:rsid w:val="00CF137D"/>
    <w:rsid w:val="00D0597D"/>
    <w:rsid w:val="00D06247"/>
    <w:rsid w:val="00D11EB1"/>
    <w:rsid w:val="00D1386B"/>
    <w:rsid w:val="00D20CE7"/>
    <w:rsid w:val="00D4069B"/>
    <w:rsid w:val="00D508C4"/>
    <w:rsid w:val="00D55B2A"/>
    <w:rsid w:val="00D65DF3"/>
    <w:rsid w:val="00D77CBE"/>
    <w:rsid w:val="00D83750"/>
    <w:rsid w:val="00D901E6"/>
    <w:rsid w:val="00DA1789"/>
    <w:rsid w:val="00DA5386"/>
    <w:rsid w:val="00DB4BA1"/>
    <w:rsid w:val="00DB732D"/>
    <w:rsid w:val="00DD73B8"/>
    <w:rsid w:val="00DE6CEA"/>
    <w:rsid w:val="00E02999"/>
    <w:rsid w:val="00E15C2D"/>
    <w:rsid w:val="00E23589"/>
    <w:rsid w:val="00E2710B"/>
    <w:rsid w:val="00E319D9"/>
    <w:rsid w:val="00E35C17"/>
    <w:rsid w:val="00E71B47"/>
    <w:rsid w:val="00E75293"/>
    <w:rsid w:val="00E83BDE"/>
    <w:rsid w:val="00E85237"/>
    <w:rsid w:val="00EA3428"/>
    <w:rsid w:val="00EA5071"/>
    <w:rsid w:val="00EE3FB7"/>
    <w:rsid w:val="00F10C94"/>
    <w:rsid w:val="00F11E07"/>
    <w:rsid w:val="00F276AE"/>
    <w:rsid w:val="00F33424"/>
    <w:rsid w:val="00F40998"/>
    <w:rsid w:val="00F540EF"/>
    <w:rsid w:val="00F6611E"/>
    <w:rsid w:val="00F775C2"/>
    <w:rsid w:val="00F77A82"/>
    <w:rsid w:val="00F856C5"/>
    <w:rsid w:val="00F96D61"/>
    <w:rsid w:val="00FA128A"/>
    <w:rsid w:val="00FB1209"/>
    <w:rsid w:val="00FC61C3"/>
    <w:rsid w:val="00FC775A"/>
    <w:rsid w:val="00FD5510"/>
    <w:rsid w:val="00FD70F9"/>
    <w:rsid w:val="00FD757F"/>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0380"/>
  <w15:chartTrackingRefBased/>
  <w15:docId w15:val="{31EDBA05-BAFB-4A9C-B998-74A8A14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0EE"/>
    <w:pPr>
      <w:keepNext/>
      <w:spacing w:after="0" w:line="0" w:lineRule="atLeast"/>
      <w:jc w:val="center"/>
      <w:outlineLvl w:val="0"/>
    </w:pPr>
    <w:rPr>
      <w:rFonts w:ascii="Times New Roman" w:hAnsi="Times New Roman" w:cs="Times New Roman"/>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uiPriority w:val="99"/>
    <w:unhideWhenUsed/>
    <w:rsid w:val="007C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B16"/>
  </w:style>
  <w:style w:type="paragraph" w:styleId="Footer">
    <w:name w:val="footer"/>
    <w:basedOn w:val="Normal"/>
    <w:link w:val="FooterChar"/>
    <w:uiPriority w:val="99"/>
    <w:unhideWhenUsed/>
    <w:rsid w:val="007C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16"/>
  </w:style>
  <w:style w:type="paragraph" w:customStyle="1" w:styleId="tophero-intro">
    <w:name w:val="tophero-intro"/>
    <w:basedOn w:val="Normal"/>
    <w:rsid w:val="00794CC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6F9E"/>
    <w:rPr>
      <w:color w:val="0563C1" w:themeColor="hyperlink"/>
      <w:u w:val="single"/>
    </w:rPr>
  </w:style>
  <w:style w:type="character" w:styleId="UnresolvedMention">
    <w:name w:val="Unresolved Mention"/>
    <w:basedOn w:val="DefaultParagraphFont"/>
    <w:uiPriority w:val="99"/>
    <w:semiHidden/>
    <w:unhideWhenUsed/>
    <w:rsid w:val="00B66F9E"/>
    <w:rPr>
      <w:color w:val="605E5C"/>
      <w:shd w:val="clear" w:color="auto" w:fill="E1DFDD"/>
    </w:rPr>
  </w:style>
  <w:style w:type="paragraph" w:styleId="BalloonText">
    <w:name w:val="Balloon Text"/>
    <w:basedOn w:val="Normal"/>
    <w:link w:val="BalloonTextChar"/>
    <w:uiPriority w:val="99"/>
    <w:semiHidden/>
    <w:unhideWhenUsed/>
    <w:rsid w:val="00D5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2A"/>
    <w:rPr>
      <w:rFonts w:ascii="Segoe UI" w:hAnsi="Segoe UI" w:cs="Segoe UI"/>
      <w:sz w:val="18"/>
      <w:szCs w:val="18"/>
    </w:rPr>
  </w:style>
  <w:style w:type="paragraph" w:styleId="BodyText">
    <w:name w:val="Body Text"/>
    <w:basedOn w:val="Normal"/>
    <w:link w:val="BodyTextChar"/>
    <w:uiPriority w:val="99"/>
    <w:unhideWhenUsed/>
    <w:rsid w:val="001E6E8B"/>
    <w:pPr>
      <w:spacing w:after="0" w:line="0" w:lineRule="atLeast"/>
    </w:pPr>
    <w:rPr>
      <w:rFonts w:ascii="Times New Roman" w:hAnsi="Times New Roman" w:cs="Times New Roman"/>
      <w:color w:val="000000" w:themeColor="text1"/>
    </w:rPr>
  </w:style>
  <w:style w:type="character" w:customStyle="1" w:styleId="BodyTextChar">
    <w:name w:val="Body Text Char"/>
    <w:basedOn w:val="DefaultParagraphFont"/>
    <w:link w:val="BodyText"/>
    <w:uiPriority w:val="99"/>
    <w:rsid w:val="001E6E8B"/>
    <w:rPr>
      <w:rFonts w:ascii="Times New Roman" w:hAnsi="Times New Roman" w:cs="Times New Roman"/>
      <w:color w:val="000000" w:themeColor="text1"/>
    </w:rPr>
  </w:style>
  <w:style w:type="character" w:customStyle="1" w:styleId="Heading1Char">
    <w:name w:val="Heading 1 Char"/>
    <w:basedOn w:val="DefaultParagraphFont"/>
    <w:link w:val="Heading1"/>
    <w:uiPriority w:val="9"/>
    <w:rsid w:val="003B60EE"/>
    <w:rPr>
      <w:rFonts w:ascii="Times New Roman" w:hAnsi="Times New Roman" w:cs="Times New Roman"/>
      <w:b/>
      <w:bCs/>
      <w:color w:val="000000" w:themeColor="text1"/>
    </w:rPr>
  </w:style>
  <w:style w:type="paragraph" w:styleId="BodyText2">
    <w:name w:val="Body Text 2"/>
    <w:basedOn w:val="Normal"/>
    <w:link w:val="BodyText2Char"/>
    <w:uiPriority w:val="99"/>
    <w:unhideWhenUsed/>
    <w:rsid w:val="00867EDB"/>
    <w:pPr>
      <w:spacing w:after="0" w:line="0" w:lineRule="atLeast"/>
      <w:jc w:val="both"/>
    </w:pPr>
    <w:rPr>
      <w:rFonts w:ascii="Times New Roman" w:hAnsi="Times New Roman" w:cs="Times New Roman"/>
      <w:color w:val="000000" w:themeColor="text1"/>
    </w:rPr>
  </w:style>
  <w:style w:type="character" w:customStyle="1" w:styleId="BodyText2Char">
    <w:name w:val="Body Text 2 Char"/>
    <w:basedOn w:val="DefaultParagraphFont"/>
    <w:link w:val="BodyText2"/>
    <w:uiPriority w:val="99"/>
    <w:rsid w:val="00867EDB"/>
    <w:rPr>
      <w:rFonts w:ascii="Times New Roman" w:hAnsi="Times New Roman" w:cs="Times New Roman"/>
      <w:color w:val="000000" w:themeColor="text1"/>
    </w:rPr>
  </w:style>
  <w:style w:type="character" w:styleId="FollowedHyperlink">
    <w:name w:val="FollowedHyperlink"/>
    <w:basedOn w:val="DefaultParagraphFont"/>
    <w:uiPriority w:val="99"/>
    <w:semiHidden/>
    <w:unhideWhenUsed/>
    <w:rsid w:val="0086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24673">
      <w:bodyDiv w:val="1"/>
      <w:marLeft w:val="0"/>
      <w:marRight w:val="0"/>
      <w:marTop w:val="0"/>
      <w:marBottom w:val="0"/>
      <w:divBdr>
        <w:top w:val="none" w:sz="0" w:space="0" w:color="auto"/>
        <w:left w:val="none" w:sz="0" w:space="0" w:color="auto"/>
        <w:bottom w:val="none" w:sz="0" w:space="0" w:color="auto"/>
        <w:right w:val="none" w:sz="0" w:space="0" w:color="auto"/>
      </w:divBdr>
      <w:divsChild>
        <w:div w:id="905608431">
          <w:marLeft w:val="0"/>
          <w:marRight w:val="0"/>
          <w:marTop w:val="0"/>
          <w:marBottom w:val="300"/>
          <w:divBdr>
            <w:top w:val="none" w:sz="0" w:space="0" w:color="auto"/>
            <w:left w:val="none" w:sz="0" w:space="0" w:color="auto"/>
            <w:bottom w:val="none" w:sz="0" w:space="0" w:color="auto"/>
            <w:right w:val="none" w:sz="0" w:space="0" w:color="auto"/>
          </w:divBdr>
          <w:divsChild>
            <w:div w:id="1756852787">
              <w:marLeft w:val="0"/>
              <w:marRight w:val="0"/>
              <w:marTop w:val="0"/>
              <w:marBottom w:val="0"/>
              <w:divBdr>
                <w:top w:val="none" w:sz="0" w:space="0" w:color="auto"/>
                <w:left w:val="none" w:sz="0" w:space="0" w:color="auto"/>
                <w:bottom w:val="none" w:sz="0" w:space="0" w:color="auto"/>
                <w:right w:val="none" w:sz="0" w:space="0" w:color="auto"/>
              </w:divBdr>
            </w:div>
          </w:divsChild>
        </w:div>
        <w:div w:id="1067534349">
          <w:marLeft w:val="0"/>
          <w:marRight w:val="0"/>
          <w:marTop w:val="0"/>
          <w:marBottom w:val="0"/>
          <w:divBdr>
            <w:top w:val="none" w:sz="0" w:space="0" w:color="auto"/>
            <w:left w:val="none" w:sz="0" w:space="0" w:color="auto"/>
            <w:bottom w:val="none" w:sz="0" w:space="0" w:color="auto"/>
            <w:right w:val="none" w:sz="0" w:space="0" w:color="auto"/>
          </w:divBdr>
          <w:divsChild>
            <w:div w:id="431709742">
              <w:marLeft w:val="0"/>
              <w:marRight w:val="0"/>
              <w:marTop w:val="0"/>
              <w:marBottom w:val="0"/>
              <w:divBdr>
                <w:top w:val="none" w:sz="0" w:space="0" w:color="auto"/>
                <w:left w:val="none" w:sz="0" w:space="0" w:color="auto"/>
                <w:bottom w:val="none" w:sz="0" w:space="0" w:color="auto"/>
                <w:right w:val="none" w:sz="0" w:space="0" w:color="auto"/>
              </w:divBdr>
              <w:divsChild>
                <w:div w:id="360404068">
                  <w:marLeft w:val="0"/>
                  <w:marRight w:val="0"/>
                  <w:marTop w:val="0"/>
                  <w:marBottom w:val="750"/>
                  <w:divBdr>
                    <w:top w:val="none" w:sz="0" w:space="0" w:color="auto"/>
                    <w:left w:val="none" w:sz="0" w:space="0" w:color="auto"/>
                    <w:bottom w:val="none" w:sz="0" w:space="0" w:color="auto"/>
                    <w:right w:val="none" w:sz="0" w:space="0" w:color="auto"/>
                  </w:divBdr>
                  <w:divsChild>
                    <w:div w:id="956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d.go.th/publish/fileadmin/user_upload/news/news22_256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bd.go.th/news_view.php?nid=4694172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ts@nnp-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go.th/publish/fileadmin/user_upload/news/news22_2563.pdf" TargetMode="External"/><Relationship Id="rId5" Type="http://schemas.openxmlformats.org/officeDocument/2006/relationships/webSettings" Target="webSettings.xml"/><Relationship Id="rId15" Type="http://schemas.openxmlformats.org/officeDocument/2006/relationships/hyperlink" Target="https://www.rd.go.th/publish/fileadmin/user_upload/news/news22_2563.pdf" TargetMode="External"/><Relationship Id="rId10" Type="http://schemas.openxmlformats.org/officeDocument/2006/relationships/hyperlink" Target="https://www.rd.go.th/publish/fileadmin/user_upload/kormor/newlaw/mfexwht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es.go.th/storage/contents/file/IDB6U40FRvdkrUOWD7APGbtj6Mg4XPPMkuwnCfl1.pdf" TargetMode="External"/><Relationship Id="rId14" Type="http://schemas.openxmlformats.org/officeDocument/2006/relationships/hyperlink" Target="https://www.rd.go.th/publish/fileadmin/user_upload/news/news24_25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F0AB-FD95-4EE1-BF44-F5F48823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12</cp:revision>
  <cp:lastPrinted>2020-04-02T10:31:00Z</cp:lastPrinted>
  <dcterms:created xsi:type="dcterms:W3CDTF">2020-04-29T13:22:00Z</dcterms:created>
  <dcterms:modified xsi:type="dcterms:W3CDTF">2020-04-29T13:34:00Z</dcterms:modified>
</cp:coreProperties>
</file>